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DE8" w:rsidRPr="00D157F5" w:rsidRDefault="00035DE8" w:rsidP="00035DE8">
      <w:pPr>
        <w:pStyle w:val="Header"/>
        <w:tabs>
          <w:tab w:val="right" w:pos="9072"/>
        </w:tabs>
        <w:rPr>
          <w:rFonts w:ascii="Times New Roman" w:hAnsi="Times New Roman"/>
          <w:noProof w:val="0"/>
          <w:sz w:val="24"/>
          <w:lang w:val="en-US"/>
        </w:rPr>
      </w:pPr>
      <w:r w:rsidRPr="00D157F5">
        <w:rPr>
          <w:rFonts w:ascii="Times New Roman" w:hAnsi="Times New Roman"/>
          <w:noProof w:val="0"/>
          <w:sz w:val="24"/>
          <w:lang w:val="en-US"/>
        </w:rPr>
        <w:t>3GPP TSG</w:t>
      </w:r>
      <w:r w:rsidR="00C23B5A">
        <w:rPr>
          <w:rFonts w:ascii="Times New Roman" w:hAnsi="Times New Roman"/>
          <w:noProof w:val="0"/>
          <w:sz w:val="24"/>
          <w:lang w:val="en-US"/>
        </w:rPr>
        <w:t>-RAN WG4 Meeting #</w:t>
      </w:r>
      <w:r w:rsidR="000026DE">
        <w:rPr>
          <w:rFonts w:ascii="Times New Roman" w:hAnsi="Times New Roman"/>
          <w:noProof w:val="0"/>
          <w:sz w:val="24"/>
          <w:lang w:val="en-US"/>
        </w:rPr>
        <w:t>72</w:t>
      </w:r>
      <w:r w:rsidRPr="00D157F5">
        <w:rPr>
          <w:rFonts w:ascii="Times New Roman" w:hAnsi="Times New Roman"/>
          <w:noProof w:val="0"/>
          <w:sz w:val="24"/>
          <w:lang w:val="en-US"/>
        </w:rPr>
        <w:tab/>
      </w:r>
      <w:r w:rsidR="0074738F" w:rsidRPr="0074738F">
        <w:rPr>
          <w:rFonts w:ascii="Times New Roman" w:hAnsi="Times New Roman"/>
          <w:bCs/>
          <w:noProof w:val="0"/>
          <w:sz w:val="24"/>
          <w:lang w:val="en-US"/>
        </w:rPr>
        <w:t>R4-</w:t>
      </w:r>
      <w:r w:rsidR="00D8755C">
        <w:rPr>
          <w:rFonts w:ascii="Times New Roman" w:hAnsi="Times New Roman"/>
          <w:bCs/>
          <w:noProof w:val="0"/>
          <w:sz w:val="24"/>
          <w:lang w:val="en-US"/>
        </w:rPr>
        <w:t>144667</w:t>
      </w:r>
    </w:p>
    <w:p w:rsidR="00513866" w:rsidRDefault="00513866" w:rsidP="00E77EA8">
      <w:pPr>
        <w:pStyle w:val="Header"/>
        <w:rPr>
          <w:rFonts w:ascii="Times New Roman" w:hAnsi="Times New Roman"/>
          <w:noProof w:val="0"/>
          <w:sz w:val="24"/>
          <w:lang w:val="en-US"/>
        </w:rPr>
      </w:pPr>
      <w:r w:rsidRPr="00513866">
        <w:rPr>
          <w:rFonts w:ascii="Times New Roman" w:hAnsi="Times New Roman"/>
          <w:noProof w:val="0"/>
          <w:sz w:val="24"/>
          <w:lang w:val="en-US"/>
        </w:rPr>
        <w:t>Dresden, Germany, 18 – 22 Aug, 2014</w:t>
      </w:r>
    </w:p>
    <w:p w:rsidR="00035DE8" w:rsidRPr="00D157F5" w:rsidRDefault="00035DE8" w:rsidP="00035DE8">
      <w:pPr>
        <w:tabs>
          <w:tab w:val="left" w:pos="1985"/>
        </w:tabs>
        <w:spacing w:before="240" w:after="0"/>
        <w:jc w:val="both"/>
        <w:rPr>
          <w:sz w:val="22"/>
        </w:rPr>
      </w:pPr>
      <w:r w:rsidRPr="00D157F5">
        <w:rPr>
          <w:b/>
          <w:sz w:val="22"/>
        </w:rPr>
        <w:t>Agenda Item:</w:t>
      </w:r>
      <w:r w:rsidR="006D011B">
        <w:rPr>
          <w:sz w:val="22"/>
        </w:rPr>
        <w:tab/>
      </w:r>
      <w:r w:rsidR="007E6F2C">
        <w:rPr>
          <w:sz w:val="22"/>
        </w:rPr>
        <w:t>7.4.4</w:t>
      </w:r>
    </w:p>
    <w:p w:rsidR="00035DE8" w:rsidRPr="00D157F5" w:rsidRDefault="00035DE8" w:rsidP="00035DE8">
      <w:pPr>
        <w:tabs>
          <w:tab w:val="left" w:pos="1985"/>
        </w:tabs>
        <w:spacing w:after="0"/>
        <w:jc w:val="both"/>
        <w:rPr>
          <w:bCs/>
          <w:sz w:val="22"/>
        </w:rPr>
      </w:pPr>
      <w:r w:rsidRPr="00D157F5">
        <w:rPr>
          <w:b/>
          <w:sz w:val="22"/>
        </w:rPr>
        <w:t xml:space="preserve">Source: </w:t>
      </w:r>
      <w:r w:rsidRPr="00D157F5">
        <w:rPr>
          <w:bCs/>
          <w:sz w:val="22"/>
        </w:rPr>
        <w:tab/>
        <w:t>Alcatel-Lucent</w:t>
      </w:r>
    </w:p>
    <w:p w:rsidR="00035DE8" w:rsidRPr="00D157F5" w:rsidRDefault="00035DE8" w:rsidP="00035DE8">
      <w:pPr>
        <w:tabs>
          <w:tab w:val="left" w:pos="1985"/>
        </w:tabs>
        <w:spacing w:after="0"/>
        <w:jc w:val="both"/>
        <w:rPr>
          <w:sz w:val="22"/>
        </w:rPr>
      </w:pPr>
      <w:r w:rsidRPr="00D157F5">
        <w:rPr>
          <w:b/>
          <w:sz w:val="22"/>
        </w:rPr>
        <w:t>Title:</w:t>
      </w:r>
      <w:r w:rsidRPr="00D157F5">
        <w:rPr>
          <w:sz w:val="22"/>
        </w:rPr>
        <w:t xml:space="preserve"> </w:t>
      </w:r>
      <w:r w:rsidRPr="00D157F5">
        <w:rPr>
          <w:sz w:val="22"/>
        </w:rPr>
        <w:tab/>
      </w:r>
      <w:r w:rsidR="00DF2255">
        <w:rPr>
          <w:sz w:val="22"/>
        </w:rPr>
        <w:t>Discussion of RLM for LC-MTC</w:t>
      </w:r>
    </w:p>
    <w:p w:rsidR="00035DE8" w:rsidRPr="00D157F5" w:rsidRDefault="00035DE8" w:rsidP="00035DE8">
      <w:pPr>
        <w:tabs>
          <w:tab w:val="left" w:pos="1985"/>
        </w:tabs>
        <w:spacing w:after="0"/>
        <w:jc w:val="both"/>
        <w:rPr>
          <w:sz w:val="22"/>
        </w:rPr>
      </w:pPr>
      <w:r w:rsidRPr="00D157F5">
        <w:rPr>
          <w:b/>
          <w:sz w:val="22"/>
        </w:rPr>
        <w:t>Document for:</w:t>
      </w:r>
      <w:r w:rsidRPr="00D157F5">
        <w:rPr>
          <w:sz w:val="22"/>
        </w:rPr>
        <w:tab/>
        <w:t>Discussion</w:t>
      </w:r>
    </w:p>
    <w:p w:rsidR="00035DE8" w:rsidRPr="00D157F5" w:rsidRDefault="00035DE8" w:rsidP="00035DE8">
      <w:pPr>
        <w:pStyle w:val="Heading1"/>
        <w:rPr>
          <w:lang w:val="en-US"/>
        </w:rPr>
      </w:pPr>
      <w:r w:rsidRPr="00D157F5">
        <w:rPr>
          <w:lang w:val="en-US"/>
        </w:rPr>
        <w:t>Introduction</w:t>
      </w:r>
    </w:p>
    <w:p w:rsidR="002F1C80" w:rsidRDefault="00BA57F1" w:rsidP="004A3EB2">
      <w:bookmarkStart w:id="0" w:name="OLE_LINK13"/>
      <w:bookmarkStart w:id="1" w:name="OLE_LINK14"/>
      <w:r>
        <w:t xml:space="preserve">In RAN4#71 RRM AH, </w:t>
      </w:r>
      <w:r w:rsidR="002F1C80" w:rsidRPr="002F1C80">
        <w:t>PDCCH/PCFICH parameters setup and RLM evaluation period</w:t>
      </w:r>
      <w:r>
        <w:t xml:space="preserve"> were discussed</w:t>
      </w:r>
      <w:r w:rsidR="002D5245">
        <w:t xml:space="preserve"> and the following WF</w:t>
      </w:r>
      <w:r w:rsidR="00E257BD">
        <w:t xml:space="preserve"> </w:t>
      </w:r>
      <w:r w:rsidR="002D5245">
        <w:t xml:space="preserve">was endorsed </w:t>
      </w:r>
      <w:r w:rsidR="00E257BD">
        <w:t>[1</w:t>
      </w:r>
      <w:r w:rsidR="002F1C80">
        <w:t>]:</w:t>
      </w:r>
    </w:p>
    <w:p w:rsidR="008D3DCF" w:rsidRDefault="00830343">
      <w:pPr>
        <w:numPr>
          <w:ilvl w:val="0"/>
          <w:numId w:val="4"/>
        </w:numPr>
        <w:rPr>
          <w:i/>
        </w:rPr>
      </w:pPr>
      <w:r w:rsidRPr="00E257BD">
        <w:rPr>
          <w:i/>
        </w:rPr>
        <w:t xml:space="preserve">On PDCCH/PCFICH Parameters for OOS and INS: </w:t>
      </w:r>
    </w:p>
    <w:p w:rsidR="008D3DCF" w:rsidRDefault="00830343">
      <w:pPr>
        <w:numPr>
          <w:ilvl w:val="1"/>
          <w:numId w:val="4"/>
        </w:numPr>
        <w:rPr>
          <w:i/>
        </w:rPr>
      </w:pPr>
      <w:r w:rsidRPr="00E257BD">
        <w:rPr>
          <w:i/>
        </w:rPr>
        <w:t>Enhanced PDCCH/PCFICH parameters need to be defined for LC-MTC:</w:t>
      </w:r>
    </w:p>
    <w:p w:rsidR="008D3DCF" w:rsidRDefault="00830343">
      <w:pPr>
        <w:numPr>
          <w:ilvl w:val="2"/>
          <w:numId w:val="4"/>
        </w:numPr>
        <w:rPr>
          <w:i/>
        </w:rPr>
      </w:pPr>
      <w:r w:rsidRPr="00E257BD">
        <w:rPr>
          <w:i/>
        </w:rPr>
        <w:t>For OOS, the ratio of PDCCH RE energy to average RS RE energy is:</w:t>
      </w:r>
    </w:p>
    <w:p w:rsidR="008D3DCF" w:rsidRDefault="00830343">
      <w:pPr>
        <w:numPr>
          <w:ilvl w:val="3"/>
          <w:numId w:val="4"/>
        </w:numPr>
        <w:rPr>
          <w:i/>
        </w:rPr>
      </w:pPr>
      <w:r w:rsidRPr="00E257BD">
        <w:rPr>
          <w:i/>
        </w:rPr>
        <w:t xml:space="preserve">4 dB;  when single antenna port is used for cell-specific reference signal transmission by the </w:t>
      </w:r>
      <w:proofErr w:type="spellStart"/>
      <w:r w:rsidRPr="00E257BD">
        <w:rPr>
          <w:i/>
        </w:rPr>
        <w:t>PCell</w:t>
      </w:r>
      <w:proofErr w:type="spellEnd"/>
      <w:r w:rsidRPr="00E257BD">
        <w:rPr>
          <w:i/>
        </w:rPr>
        <w:t xml:space="preserve"> (no change to current requirement)</w:t>
      </w:r>
      <w:r w:rsidR="00AA5E52">
        <w:rPr>
          <w:i/>
        </w:rPr>
        <w:t xml:space="preserve"> </w:t>
      </w:r>
    </w:p>
    <w:p w:rsidR="008D3DCF" w:rsidRDefault="00830343">
      <w:pPr>
        <w:numPr>
          <w:ilvl w:val="3"/>
          <w:numId w:val="4"/>
        </w:numPr>
        <w:rPr>
          <w:i/>
        </w:rPr>
      </w:pPr>
      <w:r w:rsidRPr="00E257BD">
        <w:rPr>
          <w:i/>
        </w:rPr>
        <w:t xml:space="preserve">When two or four antenna ports are used for cell-specific reference signal transmission by the </w:t>
      </w:r>
      <w:proofErr w:type="spellStart"/>
      <w:r w:rsidRPr="00E257BD">
        <w:rPr>
          <w:i/>
        </w:rPr>
        <w:t>PCell</w:t>
      </w:r>
      <w:proofErr w:type="spellEnd"/>
      <w:r w:rsidRPr="00E257BD">
        <w:rPr>
          <w:i/>
        </w:rPr>
        <w:t xml:space="preserve">. </w:t>
      </w:r>
    </w:p>
    <w:p w:rsidR="008D3DCF" w:rsidRDefault="00830343">
      <w:pPr>
        <w:numPr>
          <w:ilvl w:val="4"/>
          <w:numId w:val="4"/>
        </w:numPr>
        <w:rPr>
          <w:i/>
        </w:rPr>
      </w:pPr>
      <w:r w:rsidRPr="00207A32">
        <w:rPr>
          <w:i/>
          <w:highlight w:val="green"/>
        </w:rPr>
        <w:t>[4dB],</w:t>
      </w:r>
      <w:r w:rsidRPr="00E257BD">
        <w:rPr>
          <w:i/>
        </w:rPr>
        <w:t xml:space="preserve"> and other options are not excluded. </w:t>
      </w:r>
    </w:p>
    <w:p w:rsidR="008D3DCF" w:rsidRDefault="00830343">
      <w:pPr>
        <w:numPr>
          <w:ilvl w:val="2"/>
          <w:numId w:val="4"/>
        </w:numPr>
        <w:rPr>
          <w:i/>
        </w:rPr>
      </w:pPr>
      <w:r w:rsidRPr="00E257BD">
        <w:rPr>
          <w:i/>
        </w:rPr>
        <w:t>For INS, the ratio of PDCCH RE energy to average RS RE energy is:</w:t>
      </w:r>
    </w:p>
    <w:p w:rsidR="008D3DCF" w:rsidRDefault="00830343">
      <w:pPr>
        <w:numPr>
          <w:ilvl w:val="3"/>
          <w:numId w:val="4"/>
        </w:numPr>
        <w:rPr>
          <w:i/>
        </w:rPr>
      </w:pPr>
      <w:r w:rsidRPr="00207A32">
        <w:rPr>
          <w:i/>
          <w:highlight w:val="green"/>
          <w:lang w:val="en-GB"/>
        </w:rPr>
        <w:t>[FFS] dB</w:t>
      </w:r>
      <w:r w:rsidRPr="00E257BD">
        <w:rPr>
          <w:i/>
          <w:lang w:val="en-GB"/>
        </w:rPr>
        <w:t xml:space="preserve">; when single antenna port is used for cell-specific reference signal transmission by the </w:t>
      </w:r>
      <w:proofErr w:type="spellStart"/>
      <w:r w:rsidRPr="00E257BD">
        <w:rPr>
          <w:i/>
          <w:lang w:val="en-GB"/>
        </w:rPr>
        <w:t>PCell</w:t>
      </w:r>
      <w:proofErr w:type="spellEnd"/>
      <w:r w:rsidRPr="00E257BD">
        <w:rPr>
          <w:i/>
        </w:rPr>
        <w:t xml:space="preserve"> </w:t>
      </w:r>
    </w:p>
    <w:p w:rsidR="008D3DCF" w:rsidRDefault="00830343">
      <w:pPr>
        <w:numPr>
          <w:ilvl w:val="3"/>
          <w:numId w:val="4"/>
        </w:numPr>
        <w:rPr>
          <w:i/>
        </w:rPr>
      </w:pPr>
      <w:r w:rsidRPr="00E257BD">
        <w:rPr>
          <w:i/>
          <w:lang w:val="en-GB"/>
        </w:rPr>
        <w:t xml:space="preserve">When two or four antenna ports are used for cell-specific reference signal transmission by the </w:t>
      </w:r>
      <w:proofErr w:type="spellStart"/>
      <w:r w:rsidRPr="00E257BD">
        <w:rPr>
          <w:i/>
          <w:lang w:val="en-GB"/>
        </w:rPr>
        <w:t>Pcell</w:t>
      </w:r>
      <w:proofErr w:type="spellEnd"/>
      <w:r w:rsidRPr="00E257BD">
        <w:rPr>
          <w:i/>
          <w:lang w:val="en-GB"/>
        </w:rPr>
        <w:t xml:space="preserve"> </w:t>
      </w:r>
    </w:p>
    <w:p w:rsidR="008D3DCF" w:rsidRDefault="00830343">
      <w:pPr>
        <w:numPr>
          <w:ilvl w:val="4"/>
          <w:numId w:val="4"/>
        </w:numPr>
        <w:rPr>
          <w:i/>
        </w:rPr>
      </w:pPr>
      <w:r w:rsidRPr="00207A32">
        <w:rPr>
          <w:i/>
          <w:highlight w:val="green"/>
          <w:lang w:val="en-GB"/>
        </w:rPr>
        <w:t>[1]</w:t>
      </w:r>
      <w:r w:rsidRPr="00E257BD">
        <w:rPr>
          <w:i/>
          <w:lang w:val="en-GB"/>
        </w:rPr>
        <w:t xml:space="preserve"> dB, and other options are not excluded</w:t>
      </w:r>
    </w:p>
    <w:p w:rsidR="008D3DCF" w:rsidRDefault="00830343">
      <w:pPr>
        <w:numPr>
          <w:ilvl w:val="2"/>
          <w:numId w:val="4"/>
        </w:numPr>
        <w:rPr>
          <w:i/>
        </w:rPr>
      </w:pPr>
      <w:r w:rsidRPr="00E257BD">
        <w:rPr>
          <w:i/>
        </w:rPr>
        <w:t>Both for OOS and INS, the “</w:t>
      </w:r>
      <w:r w:rsidRPr="00E257BD">
        <w:rPr>
          <w:i/>
          <w:lang w:val="en-GB"/>
        </w:rPr>
        <w:t xml:space="preserve">Ratio of PCFICH RE energy to average RS RE energy” of legacy UE is reused. </w:t>
      </w:r>
    </w:p>
    <w:p w:rsidR="008D3DCF" w:rsidRDefault="00830343">
      <w:pPr>
        <w:numPr>
          <w:ilvl w:val="0"/>
          <w:numId w:val="4"/>
        </w:numPr>
        <w:rPr>
          <w:i/>
        </w:rPr>
      </w:pPr>
      <w:r w:rsidRPr="00207A32">
        <w:rPr>
          <w:i/>
        </w:rPr>
        <w:t xml:space="preserve">On RLM evaluation period: </w:t>
      </w:r>
    </w:p>
    <w:p w:rsidR="008D3DCF" w:rsidRDefault="00830343">
      <w:pPr>
        <w:numPr>
          <w:ilvl w:val="1"/>
          <w:numId w:val="4"/>
        </w:numPr>
        <w:rPr>
          <w:i/>
        </w:rPr>
      </w:pPr>
      <w:r w:rsidRPr="00207A32">
        <w:rPr>
          <w:i/>
        </w:rPr>
        <w:t>Whether extend the RLM period or not is FFS</w:t>
      </w:r>
    </w:p>
    <w:p w:rsidR="008D3DCF" w:rsidRDefault="00830343">
      <w:pPr>
        <w:numPr>
          <w:ilvl w:val="2"/>
          <w:numId w:val="4"/>
        </w:numPr>
        <w:rPr>
          <w:i/>
        </w:rPr>
      </w:pPr>
      <w:r w:rsidRPr="00207A32">
        <w:rPr>
          <w:i/>
        </w:rPr>
        <w:t>Companies are encouraged to study this issue from RLM performance, legacy UE implementation impact, and power-saving perspectives, etc.</w:t>
      </w:r>
    </w:p>
    <w:p w:rsidR="005149B1" w:rsidRDefault="002F1C80" w:rsidP="004A3EB2">
      <w:r>
        <w:t>I</w:t>
      </w:r>
      <w:r w:rsidR="000807C3">
        <w:t xml:space="preserve">n this paper, we give a further </w:t>
      </w:r>
      <w:r w:rsidR="00EA0FF6">
        <w:t xml:space="preserve">discussion on the </w:t>
      </w:r>
      <w:r w:rsidR="00FB509B">
        <w:t>PDCCH/PCFICH parameters setup</w:t>
      </w:r>
      <w:r w:rsidR="00EA0FF6">
        <w:t xml:space="preserve"> as well as the impacts.</w:t>
      </w:r>
    </w:p>
    <w:p w:rsidR="00FB509B" w:rsidRDefault="00FB509B" w:rsidP="004458EE">
      <w:pPr>
        <w:pStyle w:val="Heading1"/>
        <w:pBdr>
          <w:top w:val="single" w:sz="12" w:space="4" w:color="auto"/>
        </w:pBdr>
        <w:rPr>
          <w:lang w:val="en-US"/>
        </w:rPr>
      </w:pPr>
      <w:r>
        <w:rPr>
          <w:lang w:val="en-US"/>
        </w:rPr>
        <w:t>Discussion</w:t>
      </w:r>
    </w:p>
    <w:p w:rsidR="00C912B4" w:rsidRDefault="006F1568" w:rsidP="00CC1819">
      <w:pPr>
        <w:rPr>
          <w:lang w:val="en-GB"/>
        </w:rPr>
      </w:pPr>
      <w:r>
        <w:t>The purpose of</w:t>
      </w:r>
      <w:r w:rsidR="00CC1819">
        <w:t xml:space="preserve"> </w:t>
      </w:r>
      <w:r w:rsidR="00CC1819" w:rsidRPr="00CC1819">
        <w:t>RLM</w:t>
      </w:r>
      <w:r>
        <w:t xml:space="preserve"> is to </w:t>
      </w:r>
      <w:r w:rsidR="00CC1819" w:rsidRPr="00CC1819">
        <w:t>monitor the downlink radio l</w:t>
      </w:r>
      <w:r w:rsidR="00CC1819">
        <w:t>ink quality of the serving cell</w:t>
      </w:r>
      <w:r w:rsidR="00C912B4">
        <w:t>. D</w:t>
      </w:r>
      <w:proofErr w:type="spellStart"/>
      <w:r>
        <w:rPr>
          <w:lang w:val="en-GB"/>
        </w:rPr>
        <w:t>uring</w:t>
      </w:r>
      <w:proofErr w:type="spellEnd"/>
      <w:r>
        <w:rPr>
          <w:lang w:val="en-GB"/>
        </w:rPr>
        <w:t xml:space="preserve"> </w:t>
      </w:r>
      <w:r w:rsidR="00C912B4">
        <w:rPr>
          <w:lang w:val="en-GB"/>
        </w:rPr>
        <w:t>RLM</w:t>
      </w:r>
      <w:r>
        <w:rPr>
          <w:lang w:val="en-GB"/>
        </w:rPr>
        <w:t xml:space="preserve"> the</w:t>
      </w:r>
      <w:r w:rsidRPr="00CC1819">
        <w:rPr>
          <w:lang w:val="en-GB"/>
        </w:rPr>
        <w:t xml:space="preserve"> UE estimate</w:t>
      </w:r>
      <w:r>
        <w:rPr>
          <w:lang w:val="en-GB"/>
        </w:rPr>
        <w:t>s</w:t>
      </w:r>
      <w:r w:rsidRPr="00CC1819">
        <w:rPr>
          <w:lang w:val="en-GB"/>
        </w:rPr>
        <w:t xml:space="preserve"> the downlink radio link quality </w:t>
      </w:r>
      <w:r w:rsidR="00C912B4">
        <w:rPr>
          <w:lang w:val="en-GB"/>
        </w:rPr>
        <w:t xml:space="preserve">and compares the estimation </w:t>
      </w:r>
      <w:r w:rsidRPr="00CC1819">
        <w:rPr>
          <w:lang w:val="en-GB"/>
        </w:rPr>
        <w:t xml:space="preserve">to the </w:t>
      </w:r>
      <w:r w:rsidR="00C912B4">
        <w:rPr>
          <w:lang w:val="en-GB"/>
        </w:rPr>
        <w:t xml:space="preserve">out-of-sync (OOS) and in-sync (INS) </w:t>
      </w:r>
      <w:r w:rsidRPr="00CC1819">
        <w:rPr>
          <w:lang w:val="en-GB"/>
        </w:rPr>
        <w:t xml:space="preserve">thresholds </w:t>
      </w:r>
      <w:proofErr w:type="spellStart"/>
      <w:r w:rsidRPr="00CC1819">
        <w:rPr>
          <w:lang w:val="en-GB"/>
        </w:rPr>
        <w:t>Q</w:t>
      </w:r>
      <w:r w:rsidRPr="00CC1819">
        <w:rPr>
          <w:vertAlign w:val="subscript"/>
          <w:lang w:val="en-GB"/>
        </w:rPr>
        <w:t>out</w:t>
      </w:r>
      <w:proofErr w:type="spellEnd"/>
      <w:r w:rsidRPr="00CC1819">
        <w:rPr>
          <w:lang w:val="en-GB"/>
        </w:rPr>
        <w:t xml:space="preserve"> and Q</w:t>
      </w:r>
      <w:r w:rsidRPr="00CC1819">
        <w:rPr>
          <w:vertAlign w:val="subscript"/>
          <w:lang w:val="en-GB"/>
        </w:rPr>
        <w:t>in</w:t>
      </w:r>
      <w:r w:rsidRPr="00CC1819">
        <w:rPr>
          <w:lang w:val="en-GB"/>
        </w:rPr>
        <w:t>.</w:t>
      </w:r>
      <w:r>
        <w:rPr>
          <w:lang w:val="en-GB"/>
        </w:rPr>
        <w:t xml:space="preserve"> </w:t>
      </w:r>
      <w:r w:rsidR="00CC1819" w:rsidRPr="00CC1819">
        <w:rPr>
          <w:lang w:val="en-GB"/>
        </w:rPr>
        <w:t xml:space="preserve">The threshold </w:t>
      </w:r>
      <w:proofErr w:type="spellStart"/>
      <w:proofErr w:type="gramStart"/>
      <w:r w:rsidR="00CC1819" w:rsidRPr="00CC1819">
        <w:rPr>
          <w:lang w:val="en-GB"/>
        </w:rPr>
        <w:t>Q</w:t>
      </w:r>
      <w:r w:rsidR="00CC1819" w:rsidRPr="00CC1819">
        <w:rPr>
          <w:vertAlign w:val="subscript"/>
          <w:lang w:val="en-GB"/>
        </w:rPr>
        <w:t>out</w:t>
      </w:r>
      <w:proofErr w:type="spellEnd"/>
      <w:r w:rsidR="00CC1819" w:rsidRPr="00CC1819">
        <w:rPr>
          <w:lang w:val="en-GB"/>
        </w:rPr>
        <w:t xml:space="preserve"> </w:t>
      </w:r>
      <w:r w:rsidR="00CC1819">
        <w:rPr>
          <w:lang w:val="en-GB"/>
        </w:rPr>
        <w:t xml:space="preserve"> and</w:t>
      </w:r>
      <w:proofErr w:type="gramEnd"/>
      <w:r w:rsidR="00CC1819">
        <w:rPr>
          <w:lang w:val="en-GB"/>
        </w:rPr>
        <w:t xml:space="preserve"> </w:t>
      </w:r>
      <w:r w:rsidR="00CC1819" w:rsidRPr="00CC1819">
        <w:rPr>
          <w:lang w:val="en-GB"/>
        </w:rPr>
        <w:t>Q</w:t>
      </w:r>
      <w:r w:rsidR="00CC1819" w:rsidRPr="00CC1819">
        <w:rPr>
          <w:vertAlign w:val="subscript"/>
          <w:lang w:val="en-GB"/>
        </w:rPr>
        <w:t>in</w:t>
      </w:r>
      <w:r w:rsidR="00CC1819">
        <w:rPr>
          <w:vertAlign w:val="subscript"/>
          <w:lang w:val="en-GB"/>
        </w:rPr>
        <w:t xml:space="preserve"> </w:t>
      </w:r>
      <w:r w:rsidR="00CC1819">
        <w:rPr>
          <w:lang w:val="en-GB"/>
        </w:rPr>
        <w:t>for regular UEs are</w:t>
      </w:r>
      <w:r w:rsidR="00CC1819" w:rsidRPr="00CC1819">
        <w:rPr>
          <w:lang w:val="en-GB"/>
        </w:rPr>
        <w:t xml:space="preserve"> defined as the level</w:t>
      </w:r>
      <w:r w:rsidR="00CC1819">
        <w:rPr>
          <w:lang w:val="en-GB"/>
        </w:rPr>
        <w:t>s</w:t>
      </w:r>
      <w:r w:rsidR="00CC1819" w:rsidRPr="00CC1819">
        <w:rPr>
          <w:lang w:val="en-GB"/>
        </w:rPr>
        <w:t xml:space="preserve"> correspond</w:t>
      </w:r>
      <w:r w:rsidR="00CC1819">
        <w:rPr>
          <w:lang w:val="en-GB"/>
        </w:rPr>
        <w:t>ing</w:t>
      </w:r>
      <w:r w:rsidR="00CC1819" w:rsidRPr="00CC1819">
        <w:rPr>
          <w:lang w:val="en-GB"/>
        </w:rPr>
        <w:t xml:space="preserve"> to 10% </w:t>
      </w:r>
      <w:r w:rsidR="00CC1819">
        <w:rPr>
          <w:lang w:val="en-GB"/>
        </w:rPr>
        <w:t xml:space="preserve">and 2% </w:t>
      </w:r>
      <w:r>
        <w:rPr>
          <w:lang w:val="en-GB"/>
        </w:rPr>
        <w:t xml:space="preserve">PDCCH BLER. </w:t>
      </w:r>
    </w:p>
    <w:p w:rsidR="00C56218" w:rsidRDefault="00C912B4" w:rsidP="00CC1819">
      <w:pPr>
        <w:rPr>
          <w:lang w:val="en-GB"/>
        </w:rPr>
      </w:pPr>
      <w:r>
        <w:rPr>
          <w:lang w:val="en-GB"/>
        </w:rPr>
        <w:t>Due to fact</w:t>
      </w:r>
      <w:r w:rsidR="006F1568">
        <w:rPr>
          <w:lang w:val="en-GB"/>
        </w:rPr>
        <w:t xml:space="preserve"> </w:t>
      </w:r>
      <w:r>
        <w:rPr>
          <w:lang w:val="en-GB"/>
        </w:rPr>
        <w:t xml:space="preserve">that </w:t>
      </w:r>
      <w:r w:rsidR="006F1568">
        <w:rPr>
          <w:lang w:val="en-GB"/>
        </w:rPr>
        <w:t xml:space="preserve">the UE might not always </w:t>
      </w:r>
      <w:r>
        <w:rPr>
          <w:lang w:val="en-GB"/>
        </w:rPr>
        <w:t xml:space="preserve">be able to </w:t>
      </w:r>
      <w:r w:rsidR="006F1568">
        <w:rPr>
          <w:lang w:val="en-GB"/>
        </w:rPr>
        <w:t xml:space="preserve">get the </w:t>
      </w:r>
      <w:r w:rsidR="006F1568" w:rsidRPr="006F1568">
        <w:rPr>
          <w:lang w:val="en-GB"/>
        </w:rPr>
        <w:t>PDCCH BLER</w:t>
      </w:r>
      <w:r w:rsidR="006F1568">
        <w:rPr>
          <w:lang w:val="en-GB"/>
        </w:rPr>
        <w:t xml:space="preserve"> </w:t>
      </w:r>
      <w:r>
        <w:rPr>
          <w:lang w:val="en-GB"/>
        </w:rPr>
        <w:t>from</w:t>
      </w:r>
      <w:r w:rsidR="006F1568">
        <w:rPr>
          <w:lang w:val="en-GB"/>
        </w:rPr>
        <w:t xml:space="preserve"> decoding PDCCH channel, the </w:t>
      </w:r>
      <w:r w:rsidR="006F1568" w:rsidRPr="006F1568">
        <w:t xml:space="preserve">monitor the downlink radio link </w:t>
      </w:r>
      <w:r w:rsidR="006F1568">
        <w:t xml:space="preserve">is actually </w:t>
      </w:r>
      <w:r>
        <w:t xml:space="preserve">not </w:t>
      </w:r>
      <w:r w:rsidR="006F1568">
        <w:t xml:space="preserve">based on the </w:t>
      </w:r>
      <w:r w:rsidRPr="00C912B4">
        <w:rPr>
          <w:lang w:val="en-GB"/>
        </w:rPr>
        <w:t>PDCCH BLER from decoding PDCCH channel</w:t>
      </w:r>
      <w:r>
        <w:rPr>
          <w:lang w:val="en-GB"/>
        </w:rPr>
        <w:t>, instead based on the CRS measurements</w:t>
      </w:r>
      <w:r w:rsidR="006F1568">
        <w:rPr>
          <w:lang w:val="en-GB"/>
        </w:rPr>
        <w:t xml:space="preserve">. In order to obtain the </w:t>
      </w:r>
      <w:r w:rsidR="006F1568" w:rsidRPr="006F1568">
        <w:rPr>
          <w:lang w:val="en-GB"/>
        </w:rPr>
        <w:t>threshold</w:t>
      </w:r>
      <w:r w:rsidR="006F1568">
        <w:rPr>
          <w:lang w:val="en-GB"/>
        </w:rPr>
        <w:t>s</w:t>
      </w:r>
      <w:r w:rsidR="006F1568" w:rsidRPr="006F1568">
        <w:rPr>
          <w:lang w:val="en-GB"/>
        </w:rPr>
        <w:t xml:space="preserve"> </w:t>
      </w:r>
      <w:r>
        <w:rPr>
          <w:lang w:val="en-GB"/>
        </w:rPr>
        <w:t xml:space="preserve">RLM </w:t>
      </w:r>
      <w:proofErr w:type="spellStart"/>
      <w:r w:rsidR="006F1568" w:rsidRPr="006F1568">
        <w:rPr>
          <w:lang w:val="en-GB"/>
        </w:rPr>
        <w:t>Q</w:t>
      </w:r>
      <w:r w:rsidR="006F1568" w:rsidRPr="006F1568">
        <w:rPr>
          <w:vertAlign w:val="subscript"/>
          <w:lang w:val="en-GB"/>
        </w:rPr>
        <w:t>out</w:t>
      </w:r>
      <w:proofErr w:type="spellEnd"/>
      <w:r w:rsidR="006F1568" w:rsidRPr="006F1568">
        <w:rPr>
          <w:lang w:val="en-GB"/>
        </w:rPr>
        <w:t xml:space="preserve">  and Q</w:t>
      </w:r>
      <w:r w:rsidR="006F1568" w:rsidRPr="006F1568">
        <w:rPr>
          <w:vertAlign w:val="subscript"/>
          <w:lang w:val="en-GB"/>
        </w:rPr>
        <w:t xml:space="preserve">in </w:t>
      </w:r>
      <w:r w:rsidR="006F1568" w:rsidRPr="00596A44">
        <w:t xml:space="preserve">, </w:t>
      </w:r>
      <w:r w:rsidR="00CC1819" w:rsidRPr="00596A44">
        <w:rPr>
          <w:i/>
          <w:lang w:val="en-GB"/>
        </w:rPr>
        <w:t>hypothetical PDCCH</w:t>
      </w:r>
      <w:r w:rsidR="00CC1819" w:rsidRPr="00CC1819">
        <w:rPr>
          <w:lang w:val="en-GB"/>
        </w:rPr>
        <w:t xml:space="preserve"> </w:t>
      </w:r>
      <w:r w:rsidR="007C452B">
        <w:rPr>
          <w:lang w:val="en-GB"/>
        </w:rPr>
        <w:t>transmission</w:t>
      </w:r>
      <w:r w:rsidR="006F1568">
        <w:rPr>
          <w:lang w:val="en-GB"/>
        </w:rPr>
        <w:t xml:space="preserve"> are </w:t>
      </w:r>
      <w:r w:rsidR="00CC1819">
        <w:rPr>
          <w:lang w:val="en-GB"/>
        </w:rPr>
        <w:t xml:space="preserve">defined </w:t>
      </w:r>
      <w:r w:rsidR="006F1568">
        <w:rPr>
          <w:lang w:val="en-GB"/>
        </w:rPr>
        <w:t xml:space="preserve">in </w:t>
      </w:r>
      <w:r w:rsidR="000F5CA5">
        <w:rPr>
          <w:lang w:val="en-GB"/>
        </w:rPr>
        <w:t>the</w:t>
      </w:r>
      <w:r w:rsidR="000F5CA5" w:rsidRPr="000F5CA5">
        <w:rPr>
          <w:lang w:val="en-GB"/>
        </w:rPr>
        <w:t xml:space="preserve"> Table 7.6.1-1 and Table 7.6.1-2 </w:t>
      </w:r>
      <w:r w:rsidR="000F5CA5">
        <w:rPr>
          <w:lang w:val="en-GB"/>
        </w:rPr>
        <w:t xml:space="preserve">of the </w:t>
      </w:r>
      <w:r w:rsidRPr="00C912B4">
        <w:rPr>
          <w:lang w:val="en-GB"/>
        </w:rPr>
        <w:t xml:space="preserve">specification </w:t>
      </w:r>
      <w:r w:rsidR="006F1568">
        <w:rPr>
          <w:lang w:val="en-GB"/>
        </w:rPr>
        <w:t>TS 36.133</w:t>
      </w:r>
      <w:r>
        <w:rPr>
          <w:lang w:val="en-GB"/>
        </w:rPr>
        <w:t xml:space="preserve">, which allows the UE to determine the </w:t>
      </w:r>
      <w:r w:rsidR="006F1568">
        <w:rPr>
          <w:lang w:val="en-GB"/>
        </w:rPr>
        <w:t xml:space="preserve">thresholds </w:t>
      </w:r>
      <w:r w:rsidR="006F1568" w:rsidRPr="006F1568">
        <w:rPr>
          <w:lang w:val="en-GB"/>
        </w:rPr>
        <w:t xml:space="preserve">threshold </w:t>
      </w:r>
      <w:proofErr w:type="spellStart"/>
      <w:r w:rsidR="006F1568" w:rsidRPr="006F1568">
        <w:rPr>
          <w:lang w:val="en-GB"/>
        </w:rPr>
        <w:t>Q</w:t>
      </w:r>
      <w:r w:rsidR="006F1568" w:rsidRPr="006F1568">
        <w:rPr>
          <w:vertAlign w:val="subscript"/>
          <w:lang w:val="en-GB"/>
        </w:rPr>
        <w:t>out</w:t>
      </w:r>
      <w:proofErr w:type="spellEnd"/>
      <w:r w:rsidR="006F1568" w:rsidRPr="006F1568">
        <w:rPr>
          <w:lang w:val="en-GB"/>
        </w:rPr>
        <w:t xml:space="preserve">  and Q</w:t>
      </w:r>
      <w:r w:rsidR="006F1568" w:rsidRPr="006F1568">
        <w:rPr>
          <w:vertAlign w:val="subscript"/>
          <w:lang w:val="en-GB"/>
        </w:rPr>
        <w:t xml:space="preserve">in </w:t>
      </w:r>
      <w:r w:rsidR="006F1568" w:rsidRPr="006F1568">
        <w:rPr>
          <w:lang w:val="en-GB"/>
        </w:rPr>
        <w:t>corresponding to 10% and 2% PDCCH BLER</w:t>
      </w:r>
      <w:r w:rsidR="00733934">
        <w:rPr>
          <w:lang w:val="en-GB"/>
        </w:rPr>
        <w:t xml:space="preserve">. </w:t>
      </w:r>
    </w:p>
    <w:p w:rsidR="00C36019" w:rsidRDefault="00C56218" w:rsidP="00CC1819">
      <w:pPr>
        <w:rPr>
          <w:lang w:val="en-GB"/>
        </w:rPr>
      </w:pPr>
      <w:r>
        <w:rPr>
          <w:lang w:val="en-GB"/>
        </w:rPr>
        <w:lastRenderedPageBreak/>
        <w:t xml:space="preserve">For UE side, </w:t>
      </w:r>
      <w:r w:rsidR="00733934" w:rsidRPr="00733934">
        <w:rPr>
          <w:lang w:val="en-GB"/>
        </w:rPr>
        <w:t xml:space="preserve">the </w:t>
      </w:r>
      <w:r w:rsidR="00C912B4">
        <w:rPr>
          <w:lang w:val="en-GB"/>
        </w:rPr>
        <w:t>specification</w:t>
      </w:r>
      <w:r>
        <w:rPr>
          <w:lang w:val="en-GB"/>
        </w:rPr>
        <w:t xml:space="preserve"> does not define</w:t>
      </w:r>
      <w:r w:rsidR="00733934">
        <w:rPr>
          <w:lang w:val="en-GB"/>
        </w:rPr>
        <w:t xml:space="preserve"> the </w:t>
      </w:r>
      <w:r>
        <w:rPr>
          <w:lang w:val="en-GB"/>
        </w:rPr>
        <w:t xml:space="preserve">particular </w:t>
      </w:r>
      <w:r w:rsidR="00733934">
        <w:rPr>
          <w:lang w:val="en-GB"/>
        </w:rPr>
        <w:t xml:space="preserve">CRS </w:t>
      </w:r>
      <w:r w:rsidR="000F5CA5" w:rsidRPr="000F5CA5">
        <w:rPr>
          <w:lang w:val="en-GB"/>
        </w:rPr>
        <w:t>measurements</w:t>
      </w:r>
      <w:r w:rsidR="000F5CA5">
        <w:rPr>
          <w:lang w:val="en-GB"/>
        </w:rPr>
        <w:t xml:space="preserve"> </w:t>
      </w:r>
      <w:r w:rsidR="00733934">
        <w:rPr>
          <w:lang w:val="en-GB"/>
        </w:rPr>
        <w:t xml:space="preserve">for </w:t>
      </w:r>
      <w:r w:rsidR="00733934" w:rsidRPr="00733934">
        <w:rPr>
          <w:lang w:val="en-GB"/>
        </w:rPr>
        <w:t xml:space="preserve">the thresholds </w:t>
      </w:r>
      <w:proofErr w:type="spellStart"/>
      <w:proofErr w:type="gramStart"/>
      <w:r w:rsidR="00733934" w:rsidRPr="00733934">
        <w:rPr>
          <w:lang w:val="en-GB"/>
        </w:rPr>
        <w:t>Q</w:t>
      </w:r>
      <w:r w:rsidR="00733934" w:rsidRPr="00733934">
        <w:rPr>
          <w:vertAlign w:val="subscript"/>
          <w:lang w:val="en-GB"/>
        </w:rPr>
        <w:t>out</w:t>
      </w:r>
      <w:proofErr w:type="spellEnd"/>
      <w:r w:rsidR="00733934" w:rsidRPr="00733934">
        <w:rPr>
          <w:lang w:val="en-GB"/>
        </w:rPr>
        <w:t xml:space="preserve">  and</w:t>
      </w:r>
      <w:proofErr w:type="gramEnd"/>
      <w:r w:rsidR="00733934" w:rsidRPr="00733934">
        <w:rPr>
          <w:lang w:val="en-GB"/>
        </w:rPr>
        <w:t xml:space="preserve"> Q</w:t>
      </w:r>
      <w:r w:rsidR="00733934" w:rsidRPr="00733934">
        <w:rPr>
          <w:vertAlign w:val="subscript"/>
          <w:lang w:val="en-GB"/>
        </w:rPr>
        <w:t>in</w:t>
      </w:r>
      <w:r w:rsidR="00733934">
        <w:rPr>
          <w:vertAlign w:val="subscript"/>
          <w:lang w:val="en-GB"/>
        </w:rPr>
        <w:t xml:space="preserve">. </w:t>
      </w:r>
      <w:r>
        <w:rPr>
          <w:lang w:val="en-GB"/>
        </w:rPr>
        <w:t>It</w:t>
      </w:r>
      <w:r w:rsidR="00733934">
        <w:rPr>
          <w:lang w:val="en-GB"/>
        </w:rPr>
        <w:t xml:space="preserve"> would </w:t>
      </w:r>
      <w:r w:rsidR="000F5CA5">
        <w:rPr>
          <w:lang w:val="en-GB"/>
        </w:rPr>
        <w:t xml:space="preserve">be </w:t>
      </w:r>
      <w:r w:rsidR="00733934">
        <w:rPr>
          <w:lang w:val="en-GB"/>
        </w:rPr>
        <w:t xml:space="preserve">up to UE’s implementation for the determination of the </w:t>
      </w:r>
      <w:r w:rsidR="00733934" w:rsidRPr="00733934">
        <w:rPr>
          <w:lang w:val="en-GB"/>
        </w:rPr>
        <w:t xml:space="preserve">thresholds threshold </w:t>
      </w:r>
      <w:proofErr w:type="spellStart"/>
      <w:proofErr w:type="gramStart"/>
      <w:r w:rsidR="00733934" w:rsidRPr="00733934">
        <w:rPr>
          <w:lang w:val="en-GB"/>
        </w:rPr>
        <w:t>Q</w:t>
      </w:r>
      <w:r w:rsidR="00733934" w:rsidRPr="00733934">
        <w:rPr>
          <w:vertAlign w:val="subscript"/>
          <w:lang w:val="en-GB"/>
        </w:rPr>
        <w:t>out</w:t>
      </w:r>
      <w:proofErr w:type="spellEnd"/>
      <w:r w:rsidR="00733934" w:rsidRPr="00733934">
        <w:rPr>
          <w:lang w:val="en-GB"/>
        </w:rPr>
        <w:t xml:space="preserve">  and</w:t>
      </w:r>
      <w:proofErr w:type="gramEnd"/>
      <w:r w:rsidR="00733934" w:rsidRPr="00733934">
        <w:rPr>
          <w:lang w:val="en-GB"/>
        </w:rPr>
        <w:t xml:space="preserve"> Q</w:t>
      </w:r>
      <w:r w:rsidR="00733934" w:rsidRPr="00733934">
        <w:rPr>
          <w:vertAlign w:val="subscript"/>
          <w:lang w:val="en-GB"/>
        </w:rPr>
        <w:t xml:space="preserve">in </w:t>
      </w:r>
      <w:r w:rsidR="00733934">
        <w:rPr>
          <w:vertAlign w:val="subscript"/>
          <w:lang w:val="en-GB"/>
        </w:rPr>
        <w:t xml:space="preserve"> </w:t>
      </w:r>
      <w:r w:rsidR="00733934" w:rsidRPr="00733934">
        <w:rPr>
          <w:lang w:val="en-GB"/>
        </w:rPr>
        <w:t xml:space="preserve">corresponding to 10% and 2% </w:t>
      </w:r>
      <w:r w:rsidR="00733934">
        <w:rPr>
          <w:lang w:val="en-GB"/>
        </w:rPr>
        <w:t>PDCCH BLE.</w:t>
      </w:r>
      <w:r w:rsidR="00C36019">
        <w:rPr>
          <w:lang w:val="en-GB"/>
        </w:rPr>
        <w:t xml:space="preserve"> </w:t>
      </w:r>
    </w:p>
    <w:p w:rsidR="00C56218" w:rsidRDefault="00C56218" w:rsidP="00CC1819">
      <w:pPr>
        <w:rPr>
          <w:lang w:val="en-GB"/>
        </w:rPr>
      </w:pPr>
      <w:r>
        <w:rPr>
          <w:lang w:val="en-GB"/>
        </w:rPr>
        <w:t xml:space="preserve">For </w:t>
      </w:r>
      <w:proofErr w:type="spellStart"/>
      <w:r>
        <w:rPr>
          <w:lang w:val="en-GB"/>
        </w:rPr>
        <w:t>eNB</w:t>
      </w:r>
      <w:proofErr w:type="spellEnd"/>
      <w:r>
        <w:rPr>
          <w:lang w:val="en-GB"/>
        </w:rPr>
        <w:t xml:space="preserve"> side, the parameters </w:t>
      </w:r>
      <w:r w:rsidRPr="00C56218">
        <w:rPr>
          <w:lang w:val="en-GB"/>
        </w:rPr>
        <w:t xml:space="preserve">defined in Table 7.6.1-1 and Table 7.6.1-2 </w:t>
      </w:r>
      <w:proofErr w:type="gramStart"/>
      <w:r w:rsidR="000F5CA5">
        <w:rPr>
          <w:lang w:val="en-GB"/>
        </w:rPr>
        <w:t>are</w:t>
      </w:r>
      <w:proofErr w:type="gramEnd"/>
      <w:r w:rsidR="000F5CA5">
        <w:rPr>
          <w:lang w:val="en-GB"/>
        </w:rPr>
        <w:t xml:space="preserve"> only for </w:t>
      </w:r>
      <w:r w:rsidRPr="00C56218">
        <w:rPr>
          <w:i/>
          <w:lang w:val="en-GB"/>
        </w:rPr>
        <w:t>hypothetical PDCCH</w:t>
      </w:r>
      <w:r w:rsidRPr="00C56218">
        <w:rPr>
          <w:lang w:val="en-GB"/>
        </w:rPr>
        <w:t xml:space="preserve"> </w:t>
      </w:r>
      <w:r w:rsidR="007C452B">
        <w:rPr>
          <w:lang w:val="en-GB"/>
        </w:rPr>
        <w:t>transmission</w:t>
      </w:r>
      <w:r w:rsidR="000F5CA5">
        <w:rPr>
          <w:lang w:val="en-GB"/>
        </w:rPr>
        <w:t xml:space="preserve">. It does not require the </w:t>
      </w:r>
      <w:proofErr w:type="spellStart"/>
      <w:r w:rsidR="000F5CA5">
        <w:rPr>
          <w:lang w:val="en-GB"/>
        </w:rPr>
        <w:t>eNB</w:t>
      </w:r>
      <w:proofErr w:type="spellEnd"/>
      <w:r w:rsidR="000F5CA5">
        <w:rPr>
          <w:lang w:val="en-GB"/>
        </w:rPr>
        <w:t xml:space="preserve"> to use the PDCCH parameter settings in real system. Thus, </w:t>
      </w:r>
      <w:r>
        <w:rPr>
          <w:lang w:val="en-GB"/>
        </w:rPr>
        <w:t xml:space="preserve">the </w:t>
      </w:r>
      <w:proofErr w:type="spellStart"/>
      <w:r>
        <w:rPr>
          <w:lang w:val="en-GB"/>
        </w:rPr>
        <w:t>eNB</w:t>
      </w:r>
      <w:proofErr w:type="spellEnd"/>
      <w:r>
        <w:rPr>
          <w:lang w:val="en-GB"/>
        </w:rPr>
        <w:t xml:space="preserve"> may </w:t>
      </w:r>
      <w:r w:rsidR="000F5CA5">
        <w:rPr>
          <w:lang w:val="en-GB"/>
        </w:rPr>
        <w:t xml:space="preserve">or may </w:t>
      </w:r>
      <w:r>
        <w:rPr>
          <w:lang w:val="en-GB"/>
        </w:rPr>
        <w:t>not</w:t>
      </w:r>
      <w:r w:rsidR="000F5CA5">
        <w:rPr>
          <w:lang w:val="en-GB"/>
        </w:rPr>
        <w:t xml:space="preserve"> </w:t>
      </w:r>
      <w:r>
        <w:rPr>
          <w:lang w:val="en-GB"/>
        </w:rPr>
        <w:t xml:space="preserve">follow the </w:t>
      </w:r>
      <w:r w:rsidRPr="00C56218">
        <w:rPr>
          <w:lang w:val="en-GB"/>
        </w:rPr>
        <w:t xml:space="preserve">Table 7.6.1-1 and Table 7.6.1-2 for </w:t>
      </w:r>
      <w:r w:rsidRPr="00C56218">
        <w:rPr>
          <w:i/>
          <w:lang w:val="en-GB"/>
        </w:rPr>
        <w:t>PDCCH</w:t>
      </w:r>
      <w:r w:rsidRPr="00C56218">
        <w:rPr>
          <w:lang w:val="en-GB"/>
        </w:rPr>
        <w:t xml:space="preserve"> </w:t>
      </w:r>
      <w:r w:rsidR="007C452B">
        <w:rPr>
          <w:lang w:val="en-GB"/>
        </w:rPr>
        <w:t>transmission</w:t>
      </w:r>
      <w:r w:rsidR="000F5CA5">
        <w:rPr>
          <w:lang w:val="en-GB"/>
        </w:rPr>
        <w:t xml:space="preserve">, depending on the </w:t>
      </w:r>
      <w:proofErr w:type="spellStart"/>
      <w:r w:rsidR="000F5CA5">
        <w:rPr>
          <w:lang w:val="en-GB"/>
        </w:rPr>
        <w:t>eNB</w:t>
      </w:r>
      <w:proofErr w:type="spellEnd"/>
      <w:r w:rsidR="000F5CA5">
        <w:rPr>
          <w:lang w:val="en-GB"/>
        </w:rPr>
        <w:t xml:space="preserve"> implementation. </w:t>
      </w:r>
    </w:p>
    <w:p w:rsidR="00426574" w:rsidRPr="00426574" w:rsidRDefault="00426574" w:rsidP="00426574">
      <w:pPr>
        <w:pStyle w:val="Heading2"/>
      </w:pPr>
      <w:r w:rsidRPr="00426574">
        <w:t xml:space="preserve">Impact of the </w:t>
      </w:r>
      <w:r w:rsidRPr="00426574">
        <w:rPr>
          <w:i/>
        </w:rPr>
        <w:t>hypothetical PDCCH</w:t>
      </w:r>
      <w:r w:rsidRPr="00426574">
        <w:t xml:space="preserve"> transmission parameters </w:t>
      </w:r>
    </w:p>
    <w:p w:rsidR="0061662A" w:rsidRDefault="00830343" w:rsidP="00CC1819">
      <w:pPr>
        <w:rPr>
          <w:lang w:val="en-GB"/>
        </w:rPr>
      </w:pPr>
      <w:r>
        <w:rPr>
          <w:lang w:val="en-GB"/>
        </w:rPr>
        <w:t xml:space="preserve">Although </w:t>
      </w:r>
      <w:proofErr w:type="spellStart"/>
      <w:r>
        <w:rPr>
          <w:lang w:val="en-GB"/>
        </w:rPr>
        <w:t>eNB</w:t>
      </w:r>
      <w:proofErr w:type="spellEnd"/>
      <w:r>
        <w:rPr>
          <w:lang w:val="en-GB"/>
        </w:rPr>
        <w:t xml:space="preserve"> does not have to follow the </w:t>
      </w:r>
      <w:r w:rsidRPr="00830343">
        <w:rPr>
          <w:i/>
          <w:lang w:val="en-GB"/>
        </w:rPr>
        <w:t>hypothetical PDCCH</w:t>
      </w:r>
      <w:r w:rsidRPr="00830343">
        <w:rPr>
          <w:lang w:val="en-GB"/>
        </w:rPr>
        <w:t xml:space="preserve"> </w:t>
      </w:r>
      <w:r w:rsidR="007C452B">
        <w:rPr>
          <w:lang w:val="en-GB"/>
        </w:rPr>
        <w:t>transmission</w:t>
      </w:r>
      <w:r>
        <w:rPr>
          <w:lang w:val="en-GB"/>
        </w:rPr>
        <w:t xml:space="preserve">, it does not </w:t>
      </w:r>
      <w:r w:rsidR="00BA15E8">
        <w:rPr>
          <w:lang w:val="en-GB"/>
        </w:rPr>
        <w:t>mean</w:t>
      </w:r>
      <w:r>
        <w:rPr>
          <w:lang w:val="en-GB"/>
        </w:rPr>
        <w:t xml:space="preserve"> the </w:t>
      </w:r>
      <w:r w:rsidR="00BA15E8">
        <w:rPr>
          <w:lang w:val="en-GB"/>
        </w:rPr>
        <w:t xml:space="preserve">parameter </w:t>
      </w:r>
      <w:r>
        <w:rPr>
          <w:lang w:val="en-GB"/>
        </w:rPr>
        <w:t xml:space="preserve">settings for the </w:t>
      </w:r>
      <w:r w:rsidRPr="00830343">
        <w:rPr>
          <w:i/>
          <w:lang w:val="en-GB"/>
        </w:rPr>
        <w:t>hypothetical PDCCH</w:t>
      </w:r>
      <w:r w:rsidRPr="00830343">
        <w:rPr>
          <w:lang w:val="en-GB"/>
        </w:rPr>
        <w:t xml:space="preserve"> </w:t>
      </w:r>
      <w:r w:rsidR="007C452B">
        <w:rPr>
          <w:lang w:val="en-GB"/>
        </w:rPr>
        <w:t>transmission</w:t>
      </w:r>
      <w:r w:rsidRPr="00830343">
        <w:rPr>
          <w:lang w:val="en-GB"/>
        </w:rPr>
        <w:t xml:space="preserve"> </w:t>
      </w:r>
      <w:r>
        <w:rPr>
          <w:lang w:val="en-GB"/>
        </w:rPr>
        <w:t>are not import</w:t>
      </w:r>
      <w:r w:rsidR="00BA15E8">
        <w:rPr>
          <w:lang w:val="en-GB"/>
        </w:rPr>
        <w:t xml:space="preserve"> in the real system</w:t>
      </w:r>
      <w:r>
        <w:rPr>
          <w:lang w:val="en-GB"/>
        </w:rPr>
        <w:t xml:space="preserve">. As a matter of fact, since the UE determines the </w:t>
      </w:r>
      <w:r w:rsidRPr="00830343">
        <w:rPr>
          <w:lang w:val="en-GB"/>
        </w:rPr>
        <w:t xml:space="preserve">threshold </w:t>
      </w:r>
      <w:proofErr w:type="spellStart"/>
      <w:proofErr w:type="gramStart"/>
      <w:r w:rsidRPr="00830343">
        <w:rPr>
          <w:lang w:val="en-GB"/>
        </w:rPr>
        <w:t>Q</w:t>
      </w:r>
      <w:r w:rsidRPr="00830343">
        <w:rPr>
          <w:vertAlign w:val="subscript"/>
          <w:lang w:val="en-GB"/>
        </w:rPr>
        <w:t>out</w:t>
      </w:r>
      <w:proofErr w:type="spellEnd"/>
      <w:r w:rsidRPr="00830343">
        <w:rPr>
          <w:lang w:val="en-GB"/>
        </w:rPr>
        <w:t xml:space="preserve">  and</w:t>
      </w:r>
      <w:proofErr w:type="gramEnd"/>
      <w:r w:rsidRPr="00830343">
        <w:rPr>
          <w:lang w:val="en-GB"/>
        </w:rPr>
        <w:t xml:space="preserve"> Q</w:t>
      </w:r>
      <w:r w:rsidRPr="00830343">
        <w:rPr>
          <w:vertAlign w:val="subscript"/>
          <w:lang w:val="en-GB"/>
        </w:rPr>
        <w:t xml:space="preserve">in </w:t>
      </w:r>
      <w:r>
        <w:rPr>
          <w:vertAlign w:val="subscript"/>
          <w:lang w:val="en-GB"/>
        </w:rPr>
        <w:t xml:space="preserve"> </w:t>
      </w:r>
      <w:r>
        <w:rPr>
          <w:lang w:val="en-GB"/>
        </w:rPr>
        <w:t xml:space="preserve">based on the </w:t>
      </w:r>
      <w:r w:rsidRPr="00830343">
        <w:rPr>
          <w:i/>
          <w:lang w:val="en-GB"/>
        </w:rPr>
        <w:t>hypothetical PDCCH</w:t>
      </w:r>
      <w:r w:rsidRPr="00830343">
        <w:rPr>
          <w:lang w:val="en-GB"/>
        </w:rPr>
        <w:t xml:space="preserve"> </w:t>
      </w:r>
      <w:r w:rsidR="007C452B">
        <w:rPr>
          <w:lang w:val="en-GB"/>
        </w:rPr>
        <w:t>transmission</w:t>
      </w:r>
      <w:r>
        <w:rPr>
          <w:lang w:val="en-GB"/>
        </w:rPr>
        <w:t xml:space="preserve">, </w:t>
      </w:r>
      <w:r w:rsidR="0061662A">
        <w:rPr>
          <w:lang w:val="en-GB"/>
        </w:rPr>
        <w:t>the UE may not properly determine its in-sync and out-of-sync status when the parameters used in the</w:t>
      </w:r>
      <w:r w:rsidR="00BA15E8">
        <w:rPr>
          <w:lang w:val="en-GB"/>
        </w:rPr>
        <w:t xml:space="preserve"> </w:t>
      </w:r>
      <w:proofErr w:type="spellStart"/>
      <w:r w:rsidR="00BA15E8">
        <w:rPr>
          <w:lang w:val="en-GB"/>
        </w:rPr>
        <w:t>eNB</w:t>
      </w:r>
      <w:proofErr w:type="spellEnd"/>
      <w:r w:rsidR="0061662A">
        <w:rPr>
          <w:lang w:val="en-GB"/>
        </w:rPr>
        <w:t xml:space="preserve"> </w:t>
      </w:r>
      <w:r w:rsidR="0061662A" w:rsidRPr="0061662A">
        <w:rPr>
          <w:lang w:val="en-GB"/>
        </w:rPr>
        <w:t xml:space="preserve">PDCCH </w:t>
      </w:r>
      <w:r w:rsidR="007C452B">
        <w:rPr>
          <w:lang w:val="en-GB"/>
        </w:rPr>
        <w:t>transmission</w:t>
      </w:r>
      <w:r w:rsidR="0061662A" w:rsidRPr="0061662A">
        <w:rPr>
          <w:lang w:val="en-GB"/>
        </w:rPr>
        <w:t xml:space="preserve"> </w:t>
      </w:r>
      <w:r w:rsidR="0061662A">
        <w:rPr>
          <w:lang w:val="en-GB"/>
        </w:rPr>
        <w:t xml:space="preserve">have large difference with the </w:t>
      </w:r>
      <w:r w:rsidR="0061662A" w:rsidRPr="0061662A">
        <w:rPr>
          <w:i/>
          <w:lang w:val="en-GB"/>
        </w:rPr>
        <w:t>hypothetical PDCCH</w:t>
      </w:r>
      <w:r w:rsidR="0061662A" w:rsidRPr="0061662A">
        <w:rPr>
          <w:lang w:val="en-GB"/>
        </w:rPr>
        <w:t xml:space="preserve"> </w:t>
      </w:r>
      <w:r w:rsidR="007C452B">
        <w:rPr>
          <w:lang w:val="en-GB"/>
        </w:rPr>
        <w:t>transmission</w:t>
      </w:r>
      <w:r w:rsidR="0061662A">
        <w:rPr>
          <w:lang w:val="en-GB"/>
        </w:rPr>
        <w:t xml:space="preserve">. </w:t>
      </w:r>
      <w:r w:rsidR="007C452B">
        <w:rPr>
          <w:lang w:val="en-GB"/>
        </w:rPr>
        <w:t xml:space="preserve">For example, if </w:t>
      </w:r>
      <w:r w:rsidR="007C452B" w:rsidRPr="007C452B">
        <w:rPr>
          <w:i/>
          <w:lang w:val="en-GB"/>
        </w:rPr>
        <w:t>hypothetical PDCCH</w:t>
      </w:r>
      <w:r w:rsidR="007C452B" w:rsidRPr="007C452B">
        <w:rPr>
          <w:lang w:val="en-GB"/>
        </w:rPr>
        <w:t xml:space="preserve"> </w:t>
      </w:r>
      <w:r w:rsidR="007C452B">
        <w:rPr>
          <w:lang w:val="en-GB"/>
        </w:rPr>
        <w:t xml:space="preserve">transmission has large power boosting for PDCCH, while </w:t>
      </w:r>
      <w:proofErr w:type="spellStart"/>
      <w:r w:rsidR="007C452B">
        <w:rPr>
          <w:lang w:val="en-GB"/>
        </w:rPr>
        <w:t>eNB</w:t>
      </w:r>
      <w:proofErr w:type="spellEnd"/>
      <w:r w:rsidR="007C452B">
        <w:rPr>
          <w:lang w:val="en-GB"/>
        </w:rPr>
        <w:t xml:space="preserve"> PDCCH transmission does not use PDCCH </w:t>
      </w:r>
      <w:r w:rsidR="007C452B" w:rsidRPr="007C452B">
        <w:rPr>
          <w:lang w:val="en-GB"/>
        </w:rPr>
        <w:t>power boos</w:t>
      </w:r>
      <w:r w:rsidR="007C452B">
        <w:rPr>
          <w:lang w:val="en-GB"/>
        </w:rPr>
        <w:t>ting, the UE may not be able to make correct judgment on it</w:t>
      </w:r>
      <w:r w:rsidR="00EF4C8B">
        <w:rPr>
          <w:lang w:val="en-GB"/>
        </w:rPr>
        <w:t>s</w:t>
      </w:r>
      <w:r w:rsidR="007C452B">
        <w:rPr>
          <w:lang w:val="en-GB"/>
        </w:rPr>
        <w:t xml:space="preserve"> INS/OOS status. </w:t>
      </w:r>
    </w:p>
    <w:p w:rsidR="004C2C7D" w:rsidRDefault="004C2C7D" w:rsidP="004C2C7D">
      <w:pPr>
        <w:pStyle w:val="ListParagraph"/>
        <w:numPr>
          <w:ilvl w:val="0"/>
          <w:numId w:val="15"/>
        </w:numPr>
        <w:rPr>
          <w:i/>
          <w:lang w:val="en-GB"/>
        </w:rPr>
      </w:pPr>
      <w:r w:rsidRPr="00631127">
        <w:rPr>
          <w:i/>
          <w:lang w:val="en-GB"/>
        </w:rPr>
        <w:t xml:space="preserve">Observation 1: Although the </w:t>
      </w:r>
      <w:proofErr w:type="spellStart"/>
      <w:r w:rsidRPr="00631127">
        <w:rPr>
          <w:i/>
          <w:lang w:val="en-GB"/>
        </w:rPr>
        <w:t>eNB</w:t>
      </w:r>
      <w:proofErr w:type="spellEnd"/>
      <w:r w:rsidRPr="00631127">
        <w:rPr>
          <w:i/>
          <w:lang w:val="en-GB"/>
        </w:rPr>
        <w:t xml:space="preserve"> does not have to follow the parameter settings defined in Table 7.6.1-1 and Table 7.6.1-2 in TS 36.133 for PDCCH transmission, the system performance would be degraded if the </w:t>
      </w:r>
      <w:proofErr w:type="spellStart"/>
      <w:r w:rsidRPr="00631127">
        <w:rPr>
          <w:i/>
          <w:lang w:val="en-GB"/>
        </w:rPr>
        <w:t>eNB</w:t>
      </w:r>
      <w:proofErr w:type="spellEnd"/>
      <w:r w:rsidRPr="00631127">
        <w:rPr>
          <w:i/>
          <w:lang w:val="en-GB"/>
        </w:rPr>
        <w:t xml:space="preserve"> PDCCH transmission parameters have large differences with that of hypothetical PDCCH transmission due to the UE may not be able to make correct judgment on its INS/OOS status</w:t>
      </w:r>
      <w:r>
        <w:rPr>
          <w:i/>
          <w:lang w:val="en-GB"/>
        </w:rPr>
        <w:t xml:space="preserve"> </w:t>
      </w:r>
      <w:r w:rsidRPr="00631127">
        <w:rPr>
          <w:i/>
          <w:lang w:val="en-GB"/>
        </w:rPr>
        <w:t>.</w:t>
      </w:r>
      <w:r>
        <w:rPr>
          <w:i/>
          <w:lang w:val="en-GB"/>
        </w:rPr>
        <w:t xml:space="preserve">Thus, it is important to minimize the difference of the parameter settings for the </w:t>
      </w:r>
      <w:r w:rsidRPr="001D29AD">
        <w:rPr>
          <w:i/>
          <w:lang w:val="en-GB"/>
        </w:rPr>
        <w:t xml:space="preserve">hypothetical PDCCH transmission </w:t>
      </w:r>
      <w:r>
        <w:rPr>
          <w:i/>
          <w:lang w:val="en-GB"/>
        </w:rPr>
        <w:t>to those used in real systems.</w:t>
      </w:r>
    </w:p>
    <w:p w:rsidR="00426574" w:rsidRPr="00BF4688" w:rsidRDefault="00426574" w:rsidP="00BF4688">
      <w:pPr>
        <w:pStyle w:val="Heading2"/>
      </w:pPr>
      <w:r w:rsidRPr="00BF4688">
        <w:t>PDCCH</w:t>
      </w:r>
      <w:r w:rsidR="00CC104A">
        <w:t>/</w:t>
      </w:r>
      <w:r w:rsidR="00CC104A" w:rsidRPr="00CC104A">
        <w:rPr>
          <w:lang w:val="en-US"/>
        </w:rPr>
        <w:t xml:space="preserve">PCFICH </w:t>
      </w:r>
      <w:r w:rsidR="00CC104A">
        <w:rPr>
          <w:lang w:val="en-US"/>
        </w:rPr>
        <w:t xml:space="preserve">Coverage for </w:t>
      </w:r>
      <w:r w:rsidR="00CC104A" w:rsidRPr="00CC104A">
        <w:rPr>
          <w:lang w:val="en-US"/>
        </w:rPr>
        <w:t>LC-MTC</w:t>
      </w:r>
      <w:r w:rsidR="00CC104A">
        <w:rPr>
          <w:lang w:val="en-US"/>
        </w:rPr>
        <w:t xml:space="preserve"> UEs</w:t>
      </w:r>
      <w:r w:rsidRPr="00BF4688">
        <w:t xml:space="preserve"> </w:t>
      </w:r>
    </w:p>
    <w:p w:rsidR="00BA376F" w:rsidRDefault="0061662A" w:rsidP="00BA376F">
      <w:pPr>
        <w:rPr>
          <w:lang w:val="en-GB"/>
        </w:rPr>
      </w:pPr>
      <w:r>
        <w:rPr>
          <w:lang w:val="en-GB"/>
        </w:rPr>
        <w:t xml:space="preserve">For LC-MTC UEs, </w:t>
      </w:r>
      <w:r w:rsidR="00BA376F">
        <w:rPr>
          <w:lang w:val="en-GB"/>
        </w:rPr>
        <w:t>due to the fact that it has only 1Rx</w:t>
      </w:r>
      <w:r w:rsidR="00BF4688">
        <w:rPr>
          <w:lang w:val="en-GB"/>
        </w:rPr>
        <w:t xml:space="preserve"> antenna</w:t>
      </w:r>
      <w:r w:rsidR="00BA376F">
        <w:rPr>
          <w:lang w:val="en-GB"/>
        </w:rPr>
        <w:t xml:space="preserve">, the </w:t>
      </w:r>
      <w:r w:rsidR="00BA376F" w:rsidRPr="00BA376F">
        <w:rPr>
          <w:lang w:val="en-GB"/>
        </w:rPr>
        <w:t>PDCCH</w:t>
      </w:r>
      <w:r w:rsidR="00BF4688">
        <w:rPr>
          <w:lang w:val="en-GB"/>
        </w:rPr>
        <w:t xml:space="preserve"> performance will be</w:t>
      </w:r>
      <w:r w:rsidR="00BA376F">
        <w:rPr>
          <w:lang w:val="en-GB"/>
        </w:rPr>
        <w:t xml:space="preserve"> degraded</w:t>
      </w:r>
      <w:r w:rsidR="00BF4688">
        <w:rPr>
          <w:lang w:val="en-GB"/>
        </w:rPr>
        <w:t xml:space="preserve"> in comparison with regular UEs with 2Rx antennas. It implies t</w:t>
      </w:r>
      <w:r w:rsidR="00BA376F" w:rsidRPr="00BA376F">
        <w:rPr>
          <w:lang w:val="en-GB"/>
        </w:rPr>
        <w:t xml:space="preserve">he PDCCH coverage </w:t>
      </w:r>
      <w:r w:rsidR="00BA376F">
        <w:rPr>
          <w:lang w:val="en-GB"/>
        </w:rPr>
        <w:t>for the LC-MTC UE</w:t>
      </w:r>
      <w:r w:rsidR="00BF4688">
        <w:rPr>
          <w:lang w:val="en-GB"/>
        </w:rPr>
        <w:t>s</w:t>
      </w:r>
      <w:r w:rsidR="00BA376F">
        <w:rPr>
          <w:lang w:val="en-GB"/>
        </w:rPr>
        <w:t xml:space="preserve"> </w:t>
      </w:r>
      <w:r w:rsidR="00BA376F" w:rsidRPr="00BA376F">
        <w:rPr>
          <w:lang w:val="en-GB"/>
        </w:rPr>
        <w:t xml:space="preserve">would be </w:t>
      </w:r>
      <w:r w:rsidR="00BA376F">
        <w:rPr>
          <w:lang w:val="en-GB"/>
        </w:rPr>
        <w:t>smaller than that for the regular UE</w:t>
      </w:r>
      <w:r w:rsidR="00BF4688">
        <w:rPr>
          <w:lang w:val="en-GB"/>
        </w:rPr>
        <w:t>s</w:t>
      </w:r>
      <w:r w:rsidR="00BA376F">
        <w:rPr>
          <w:lang w:val="en-GB"/>
        </w:rPr>
        <w:t xml:space="preserve"> </w:t>
      </w:r>
      <w:r w:rsidR="008538EA">
        <w:rPr>
          <w:lang w:val="en-GB"/>
        </w:rPr>
        <w:t xml:space="preserve">under the </w:t>
      </w:r>
      <w:r w:rsidR="00EE2A76">
        <w:rPr>
          <w:lang w:val="en-GB"/>
        </w:rPr>
        <w:t xml:space="preserve">same </w:t>
      </w:r>
      <w:r w:rsidR="00BF4688" w:rsidRPr="00BF4688">
        <w:rPr>
          <w:lang w:val="en-GB"/>
        </w:rPr>
        <w:t>PDCCH transmission parameter settings</w:t>
      </w:r>
      <w:r w:rsidR="00BA376F">
        <w:rPr>
          <w:lang w:val="en-GB"/>
        </w:rPr>
        <w:t xml:space="preserve">. </w:t>
      </w:r>
    </w:p>
    <w:p w:rsidR="00CC104A" w:rsidRDefault="00DA2049" w:rsidP="00BA376F">
      <w:pPr>
        <w:rPr>
          <w:i/>
          <w:lang w:val="en-GB"/>
        </w:rPr>
      </w:pPr>
      <w:r>
        <w:rPr>
          <w:lang w:val="en-GB"/>
        </w:rPr>
        <w:t xml:space="preserve">If we want to </w:t>
      </w:r>
      <w:r w:rsidR="00951FEF">
        <w:rPr>
          <w:lang w:val="en-GB"/>
        </w:rPr>
        <w:t xml:space="preserve">keep the </w:t>
      </w:r>
      <w:r w:rsidR="00951FEF" w:rsidRPr="00951FEF">
        <w:rPr>
          <w:lang w:val="en-GB"/>
        </w:rPr>
        <w:t>PDCCH coverage for the LC-MTC UE</w:t>
      </w:r>
      <w:r>
        <w:rPr>
          <w:lang w:val="en-GB"/>
        </w:rPr>
        <w:t>s</w:t>
      </w:r>
      <w:r w:rsidR="00951FEF" w:rsidRPr="00951FEF">
        <w:rPr>
          <w:lang w:val="en-GB"/>
        </w:rPr>
        <w:t xml:space="preserve"> </w:t>
      </w:r>
      <w:r>
        <w:rPr>
          <w:lang w:val="en-GB"/>
        </w:rPr>
        <w:t xml:space="preserve">as the same as, or near the same as that for </w:t>
      </w:r>
      <w:r w:rsidR="00951FEF">
        <w:rPr>
          <w:lang w:val="en-GB"/>
        </w:rPr>
        <w:t>the regular UE</w:t>
      </w:r>
      <w:r>
        <w:rPr>
          <w:lang w:val="en-GB"/>
        </w:rPr>
        <w:t xml:space="preserve">s, </w:t>
      </w:r>
      <w:r w:rsidR="00951FEF" w:rsidRPr="008D3DCF">
        <w:t xml:space="preserve">the ratio of PDCCH RE energy to average RS RE energy </w:t>
      </w:r>
      <w:r w:rsidRPr="008D3DCF">
        <w:t xml:space="preserve">for the </w:t>
      </w:r>
      <w:r w:rsidRPr="008D3DCF">
        <w:rPr>
          <w:lang w:val="en-GB"/>
        </w:rPr>
        <w:t xml:space="preserve">LC-MTC UEs </w:t>
      </w:r>
      <w:r w:rsidR="008D3DCF" w:rsidRPr="008D3DCF">
        <w:rPr>
          <w:lang w:val="en-GB"/>
        </w:rPr>
        <w:t>would have be increased in comparison with that for regular UEs.</w:t>
      </w:r>
    </w:p>
    <w:p w:rsidR="00DA2049" w:rsidRDefault="008D3DCF" w:rsidP="00BA376F">
      <w:pPr>
        <w:rPr>
          <w:lang w:val="en-GB"/>
        </w:rPr>
      </w:pPr>
      <w:r>
        <w:rPr>
          <w:lang w:val="en-GB"/>
        </w:rPr>
        <w:t xml:space="preserve">In the </w:t>
      </w:r>
      <w:r w:rsidRPr="008D3DCF">
        <w:t>endorsed WF [1</w:t>
      </w:r>
      <w:r>
        <w:t xml:space="preserve">], when </w:t>
      </w:r>
      <w:r w:rsidRPr="008D3DCF">
        <w:rPr>
          <w:u w:val="single"/>
        </w:rPr>
        <w:t>two or four antenna ports</w:t>
      </w:r>
      <w:r w:rsidRPr="008D3DCF">
        <w:t xml:space="preserve"> are used for cell-specific reference signal, the ratio of PDCCH RE energy to average RS RE energy was proposed to be increased </w:t>
      </w:r>
      <w:r w:rsidRPr="008D3DCF">
        <w:rPr>
          <w:u w:val="single"/>
        </w:rPr>
        <w:t xml:space="preserve">from 1dB </w:t>
      </w:r>
      <w:r>
        <w:rPr>
          <w:u w:val="single"/>
        </w:rPr>
        <w:t xml:space="preserve">for regular UE </w:t>
      </w:r>
      <w:r w:rsidRPr="008D3DCF">
        <w:rPr>
          <w:u w:val="single"/>
        </w:rPr>
        <w:t xml:space="preserve">to [4] </w:t>
      </w:r>
      <w:r>
        <w:rPr>
          <w:u w:val="single"/>
        </w:rPr>
        <w:t>dB for LC-MTC UE for OOS.</w:t>
      </w:r>
      <w:r>
        <w:t xml:space="preserve"> The increase seems to be reasonable, considering the 1-3 dB was lost due to 1Rx antenna. W</w:t>
      </w:r>
      <w:r w:rsidRPr="008D3DCF">
        <w:t xml:space="preserve">hen </w:t>
      </w:r>
      <w:r>
        <w:rPr>
          <w:u w:val="single"/>
        </w:rPr>
        <w:t xml:space="preserve">one </w:t>
      </w:r>
      <w:r w:rsidRPr="008D3DCF">
        <w:rPr>
          <w:u w:val="single"/>
        </w:rPr>
        <w:t>antenna port</w:t>
      </w:r>
      <w:r w:rsidRPr="008D3DCF">
        <w:t xml:space="preserve"> </w:t>
      </w:r>
      <w:r>
        <w:t>is</w:t>
      </w:r>
      <w:r w:rsidRPr="008D3DCF">
        <w:t xml:space="preserve"> used for cell-specific reference signal, the ratio of PDCCH RE energy to average RS RE energy was proposed to be </w:t>
      </w:r>
      <w:r>
        <w:t xml:space="preserve">unchanged </w:t>
      </w:r>
      <w:r w:rsidRPr="008D3DCF">
        <w:t xml:space="preserve">for INS. </w:t>
      </w:r>
      <w:r>
        <w:t xml:space="preserve">It implies that if </w:t>
      </w:r>
      <w:r w:rsidR="00173361" w:rsidRPr="00173361">
        <w:rPr>
          <w:u w:val="single"/>
        </w:rPr>
        <w:t>one antenna port</w:t>
      </w:r>
      <w:r w:rsidR="00173361">
        <w:t xml:space="preserve">, the </w:t>
      </w:r>
      <w:r w:rsidR="00173361" w:rsidRPr="00173361">
        <w:rPr>
          <w:lang w:val="en-GB"/>
        </w:rPr>
        <w:t xml:space="preserve">PDCCH coverage for the LC-MTC UEs </w:t>
      </w:r>
      <w:r w:rsidR="00173361">
        <w:rPr>
          <w:lang w:val="en-GB"/>
        </w:rPr>
        <w:t>will be smaller than that for regular UE, at least from RLM OOS point of view.</w:t>
      </w:r>
    </w:p>
    <w:p w:rsidR="00707CC1" w:rsidRPr="001D29AD" w:rsidRDefault="00707CC1" w:rsidP="00707CC1">
      <w:pPr>
        <w:pStyle w:val="ListParagraph"/>
        <w:numPr>
          <w:ilvl w:val="0"/>
          <w:numId w:val="15"/>
        </w:numPr>
        <w:rPr>
          <w:i/>
          <w:lang w:val="en-GB"/>
        </w:rPr>
      </w:pPr>
      <w:r w:rsidRPr="00631127">
        <w:rPr>
          <w:i/>
          <w:lang w:val="en-GB"/>
        </w:rPr>
        <w:t xml:space="preserve">Observation 2: </w:t>
      </w:r>
      <w:r>
        <w:rPr>
          <w:i/>
          <w:lang w:val="en-GB"/>
        </w:rPr>
        <w:t xml:space="preserve">With the parameters </w:t>
      </w:r>
      <w:r w:rsidRPr="00631127">
        <w:rPr>
          <w:i/>
          <w:lang w:val="en-GB"/>
        </w:rPr>
        <w:t xml:space="preserve">on the endorsed WF [1], when </w:t>
      </w:r>
      <w:r w:rsidRPr="00631127">
        <w:rPr>
          <w:i/>
          <w:u w:val="single"/>
        </w:rPr>
        <w:t>one antenna port</w:t>
      </w:r>
      <w:r w:rsidRPr="00631127">
        <w:rPr>
          <w:i/>
        </w:rPr>
        <w:t xml:space="preserve"> is used for cell-specific reference signal, the </w:t>
      </w:r>
      <w:r w:rsidRPr="00631127">
        <w:rPr>
          <w:i/>
          <w:lang w:val="en-GB"/>
        </w:rPr>
        <w:t xml:space="preserve">PDCCH coverage for the LC-MTC UEs will be smaller than that for regular UE from RLM OOS point of view, while </w:t>
      </w:r>
      <w:r w:rsidRPr="00631127">
        <w:rPr>
          <w:i/>
          <w:u w:val="single"/>
          <w:lang w:val="en-GB"/>
        </w:rPr>
        <w:t xml:space="preserve">two </w:t>
      </w:r>
      <w:r w:rsidRPr="00631127">
        <w:rPr>
          <w:i/>
          <w:u w:val="single"/>
        </w:rPr>
        <w:t>or four antenna ports</w:t>
      </w:r>
      <w:r w:rsidRPr="00631127">
        <w:rPr>
          <w:i/>
        </w:rPr>
        <w:t xml:space="preserve"> are used for cell-specific reference signal, the </w:t>
      </w:r>
      <w:r w:rsidRPr="00631127">
        <w:rPr>
          <w:i/>
          <w:lang w:val="en-GB"/>
        </w:rPr>
        <w:t xml:space="preserve">PDCCH coverage for the LC-MTC UEs might be able to be near that for the regular UE if the proposed the </w:t>
      </w:r>
      <w:r w:rsidRPr="00631127">
        <w:rPr>
          <w:i/>
        </w:rPr>
        <w:t>ratio of PDCCH RE energy to average RS RE energy of [4]dB is finally agreed.</w:t>
      </w:r>
    </w:p>
    <w:p w:rsidR="00EC2CAD" w:rsidRDefault="00CC104A" w:rsidP="00154D9C">
      <w:r w:rsidRPr="00CC104A">
        <w:rPr>
          <w:lang w:val="en-GB"/>
        </w:rPr>
        <w:t xml:space="preserve">In the </w:t>
      </w:r>
      <w:r w:rsidRPr="00CC104A">
        <w:t xml:space="preserve">endorsed WF [1], </w:t>
      </w:r>
      <w:r w:rsidR="000D0F16">
        <w:t>it proposed to reuse the r</w:t>
      </w:r>
      <w:r w:rsidR="00154D9C" w:rsidRPr="00154D9C">
        <w:t>atio of PCFICH RE energy to average RS RE energy</w:t>
      </w:r>
      <w:r w:rsidR="000D0F16">
        <w:t xml:space="preserve"> of the regular UEs for both for OOS and INS. </w:t>
      </w:r>
      <w:r w:rsidR="00EC2CAD">
        <w:t xml:space="preserve">The proposal is reasonable because </w:t>
      </w:r>
      <w:r w:rsidR="00EC2CAD" w:rsidRPr="00EC2CAD">
        <w:rPr>
          <w:lang w:val="en-GB"/>
        </w:rPr>
        <w:t>PCFICH</w:t>
      </w:r>
      <w:r w:rsidR="00EC2CAD">
        <w:rPr>
          <w:lang w:val="en-GB"/>
        </w:rPr>
        <w:t xml:space="preserve"> is not UE-specific channel, but Cell-specific channel. Changing </w:t>
      </w:r>
      <w:r w:rsidR="00EC2CAD">
        <w:t xml:space="preserve">the </w:t>
      </w:r>
      <w:r w:rsidR="00EC2CAD" w:rsidRPr="00EC2CAD">
        <w:t xml:space="preserve">ratio of PCFICH RE energy to average RS RE energy </w:t>
      </w:r>
      <w:r w:rsidR="00EC2CAD">
        <w:t xml:space="preserve">would have impact on all UEs. </w:t>
      </w:r>
      <w:r w:rsidR="00523EE0">
        <w:t>This</w:t>
      </w:r>
      <w:r w:rsidR="00A55B6A">
        <w:t xml:space="preserve">, however, </w:t>
      </w:r>
      <w:r w:rsidR="00523EE0">
        <w:t xml:space="preserve">means the </w:t>
      </w:r>
      <w:r w:rsidR="00523EE0" w:rsidRPr="00523EE0">
        <w:t xml:space="preserve">PCFICH </w:t>
      </w:r>
      <w:r w:rsidR="00523EE0">
        <w:t xml:space="preserve">coverage for the LC-MTC would be unavoidably smaller than that for the regular UEs. It implies the effort to increase the PDCCH coverage to be the same as the regular UE would be constrained by the fact that </w:t>
      </w:r>
      <w:r w:rsidR="00523EE0" w:rsidRPr="00523EE0">
        <w:t xml:space="preserve">PCFICH </w:t>
      </w:r>
      <w:r w:rsidR="00523EE0">
        <w:t>coverage for the LC-MTC.</w:t>
      </w:r>
    </w:p>
    <w:p w:rsidR="0094529E" w:rsidRPr="001D29AD" w:rsidRDefault="0094529E" w:rsidP="0094529E">
      <w:pPr>
        <w:pStyle w:val="ListParagraph"/>
        <w:numPr>
          <w:ilvl w:val="0"/>
          <w:numId w:val="15"/>
        </w:numPr>
        <w:rPr>
          <w:i/>
          <w:lang w:val="en-GB"/>
        </w:rPr>
      </w:pPr>
      <w:r w:rsidRPr="00631127">
        <w:rPr>
          <w:i/>
          <w:lang w:val="en-GB"/>
        </w:rPr>
        <w:t xml:space="preserve">Observation 3: </w:t>
      </w:r>
      <w:r>
        <w:rPr>
          <w:i/>
          <w:lang w:val="en-GB"/>
        </w:rPr>
        <w:t xml:space="preserve">If </w:t>
      </w:r>
      <w:r w:rsidRPr="00631127">
        <w:rPr>
          <w:i/>
        </w:rPr>
        <w:t>the ratio of PCFICH RE energy to average RS RE energy of the regular UEs for regular UE would be reused for LC-MTC UEs</w:t>
      </w:r>
      <w:r>
        <w:rPr>
          <w:i/>
        </w:rPr>
        <w:t xml:space="preserve"> according to the </w:t>
      </w:r>
      <w:r w:rsidRPr="001D29AD">
        <w:rPr>
          <w:i/>
          <w:lang w:val="en-GB"/>
        </w:rPr>
        <w:t xml:space="preserve">endorsed WF [1], </w:t>
      </w:r>
      <w:r>
        <w:rPr>
          <w:i/>
          <w:lang w:val="en-GB"/>
        </w:rPr>
        <w:t>the</w:t>
      </w:r>
      <w:r w:rsidRPr="00631127">
        <w:rPr>
          <w:i/>
        </w:rPr>
        <w:t xml:space="preserve"> increase the </w:t>
      </w:r>
      <w:r>
        <w:rPr>
          <w:i/>
        </w:rPr>
        <w:t xml:space="preserve">PDCCH coverage for LC-MTC UE </w:t>
      </w:r>
      <w:r w:rsidRPr="00631127">
        <w:rPr>
          <w:i/>
        </w:rPr>
        <w:t xml:space="preserve">would be constrained by the fact that PCFICH coverage for the LC-MTC is </w:t>
      </w:r>
      <w:r>
        <w:rPr>
          <w:i/>
        </w:rPr>
        <w:t xml:space="preserve">still </w:t>
      </w:r>
      <w:r w:rsidRPr="00631127">
        <w:rPr>
          <w:i/>
        </w:rPr>
        <w:t>smaller than that for the regular UE.</w:t>
      </w:r>
    </w:p>
    <w:p w:rsidR="00D771EB" w:rsidRPr="00D771EB" w:rsidRDefault="00D771EB" w:rsidP="004E43C0">
      <w:pPr>
        <w:pStyle w:val="Heading2"/>
      </w:pPr>
      <w:r w:rsidRPr="00D771EB">
        <w:t>PDCCH</w:t>
      </w:r>
      <w:r>
        <w:t xml:space="preserve"> Parameters for In-Sync </w:t>
      </w:r>
      <w:r w:rsidRPr="00D771EB">
        <w:rPr>
          <w:lang w:val="en-US"/>
        </w:rPr>
        <w:t>for LC-MTC UEs</w:t>
      </w:r>
      <w:r w:rsidRPr="00D771EB">
        <w:t xml:space="preserve"> </w:t>
      </w:r>
    </w:p>
    <w:p w:rsidR="00D771EB" w:rsidRPr="00D771EB" w:rsidRDefault="00D771EB" w:rsidP="00D771EB">
      <w:r w:rsidRPr="00D771EB">
        <w:rPr>
          <w:lang w:val="en-GB"/>
        </w:rPr>
        <w:t xml:space="preserve">In the </w:t>
      </w:r>
      <w:r w:rsidRPr="00D771EB">
        <w:t xml:space="preserve">endorsed WF [1], </w:t>
      </w:r>
      <w:r>
        <w:t xml:space="preserve">when two or four antenna ports are used for cell-specific reference signal transmission by the </w:t>
      </w:r>
      <w:proofErr w:type="spellStart"/>
      <w:r>
        <w:t>Pcell</w:t>
      </w:r>
      <w:proofErr w:type="spellEnd"/>
      <w:r>
        <w:t xml:space="preserve">, the </w:t>
      </w:r>
      <w:r w:rsidRPr="00D771EB">
        <w:t xml:space="preserve">proposed </w:t>
      </w:r>
      <w:r w:rsidRPr="00D771EB">
        <w:rPr>
          <w:i/>
        </w:rPr>
        <w:t>ratio of PDCCH RE energy to average RS RE energy is</w:t>
      </w:r>
      <w:r>
        <w:rPr>
          <w:i/>
        </w:rPr>
        <w:t xml:space="preserve"> increased from -3dB to [1]dB. </w:t>
      </w:r>
      <w:r>
        <w:t>W</w:t>
      </w:r>
      <w:r w:rsidRPr="00D771EB">
        <w:t xml:space="preserve">hen single </w:t>
      </w:r>
      <w:r w:rsidRPr="00D771EB">
        <w:lastRenderedPageBreak/>
        <w:t xml:space="preserve">antenna port is used for cell-specific reference signal transmission by the </w:t>
      </w:r>
      <w:proofErr w:type="spellStart"/>
      <w:r w:rsidRPr="00D771EB">
        <w:t>PCell</w:t>
      </w:r>
      <w:proofErr w:type="spellEnd"/>
      <w:r>
        <w:t>,</w:t>
      </w:r>
      <w:r w:rsidRPr="00D771EB">
        <w:rPr>
          <w:i/>
        </w:rPr>
        <w:t xml:space="preserve"> </w:t>
      </w:r>
      <w:r w:rsidRPr="00D771EB">
        <w:t xml:space="preserve">the ratio of PDCCH RE energy to average RS RE energy </w:t>
      </w:r>
      <w:r>
        <w:t xml:space="preserve">is still </w:t>
      </w:r>
      <w:r w:rsidRPr="00D771EB">
        <w:rPr>
          <w:i/>
        </w:rPr>
        <w:t>FFS</w:t>
      </w:r>
      <w:r>
        <w:t>.</w:t>
      </w:r>
    </w:p>
    <w:p w:rsidR="00D771EB" w:rsidRDefault="00D771EB" w:rsidP="00D771EB">
      <w:r>
        <w:rPr>
          <w:lang w:val="en-GB"/>
        </w:rPr>
        <w:t xml:space="preserve">If we follow the case for OOS parameter settings, where the </w:t>
      </w:r>
      <w:r w:rsidRPr="00D771EB">
        <w:t>ratio of PDCCH RE energy to average RS RE energy</w:t>
      </w:r>
      <w:r>
        <w:t xml:space="preserve"> for the LC-MTC UE </w:t>
      </w:r>
      <w:r w:rsidRPr="00D771EB">
        <w:t xml:space="preserve">is </w:t>
      </w:r>
      <w:r>
        <w:t xml:space="preserve">the same as the regular UE, or allowing </w:t>
      </w:r>
      <w:r w:rsidRPr="00D771EB">
        <w:t xml:space="preserve">the </w:t>
      </w:r>
      <w:r w:rsidRPr="00D771EB">
        <w:rPr>
          <w:lang w:val="en-GB"/>
        </w:rPr>
        <w:t xml:space="preserve">PDCCH coverage for the LC-MTC UEs be smaller than that for regular UE when </w:t>
      </w:r>
      <w:r w:rsidRPr="00D771EB">
        <w:t>one antenna port is used for cell-specific reference signal transmission, then the</w:t>
      </w:r>
      <w:r>
        <w:t xml:space="preserve"> </w:t>
      </w:r>
      <w:r w:rsidRPr="00D771EB">
        <w:t xml:space="preserve">ratio of PDCCH RE energy to average RS RE energy </w:t>
      </w:r>
      <w:r>
        <w:t xml:space="preserve">for OOS should also be re-used for the LC-MTC for consistency. </w:t>
      </w:r>
    </w:p>
    <w:p w:rsidR="001D29AD" w:rsidRPr="00631127" w:rsidRDefault="001D29AD" w:rsidP="001D29AD">
      <w:pPr>
        <w:pStyle w:val="ListParagraph"/>
        <w:numPr>
          <w:ilvl w:val="0"/>
          <w:numId w:val="15"/>
        </w:numPr>
        <w:rPr>
          <w:i/>
          <w:lang w:val="en-GB"/>
        </w:rPr>
      </w:pPr>
      <w:r w:rsidRPr="00631127">
        <w:rPr>
          <w:i/>
          <w:lang w:val="en-GB"/>
        </w:rPr>
        <w:t>Observation 4: To keep the consistency between the OOS and INS</w:t>
      </w:r>
      <w:r>
        <w:rPr>
          <w:i/>
          <w:lang w:val="en-GB"/>
        </w:rPr>
        <w:t xml:space="preserve"> for </w:t>
      </w:r>
      <w:r w:rsidRPr="001D29AD">
        <w:rPr>
          <w:i/>
        </w:rPr>
        <w:t xml:space="preserve">LC-MTC </w:t>
      </w:r>
      <w:r>
        <w:rPr>
          <w:i/>
        </w:rPr>
        <w:t>UEs</w:t>
      </w:r>
      <w:r>
        <w:rPr>
          <w:i/>
          <w:lang w:val="en-GB"/>
        </w:rPr>
        <w:t xml:space="preserve"> </w:t>
      </w:r>
      <w:r w:rsidRPr="00631127">
        <w:rPr>
          <w:i/>
          <w:lang w:val="en-GB"/>
        </w:rPr>
        <w:t xml:space="preserve">, the </w:t>
      </w:r>
      <w:r w:rsidRPr="00631127">
        <w:rPr>
          <w:i/>
        </w:rPr>
        <w:t xml:space="preserve">ratio of PDCCH RE energy to average RS RE energy for INS for regular UE may also be reused for LC-MTC UEs when </w:t>
      </w:r>
      <w:r w:rsidRPr="00631127">
        <w:rPr>
          <w:i/>
          <w:u w:val="single"/>
        </w:rPr>
        <w:t>one antenna port</w:t>
      </w:r>
      <w:r w:rsidRPr="00631127">
        <w:rPr>
          <w:i/>
        </w:rPr>
        <w:t xml:space="preserve"> is used for cell-specific reference signal. In this case, the PDCCH coverage for LC-MTC UEs when </w:t>
      </w:r>
      <w:r w:rsidRPr="00631127">
        <w:rPr>
          <w:i/>
          <w:u w:val="single"/>
        </w:rPr>
        <w:t>one antenna port</w:t>
      </w:r>
      <w:r w:rsidRPr="00631127">
        <w:rPr>
          <w:i/>
        </w:rPr>
        <w:t xml:space="preserve"> is used for cell-specific reference signal w</w:t>
      </w:r>
      <w:r>
        <w:rPr>
          <w:i/>
        </w:rPr>
        <w:t>ill be smaller than regular UEs</w:t>
      </w:r>
      <w:r w:rsidRPr="00631127">
        <w:rPr>
          <w:i/>
        </w:rPr>
        <w:t>.</w:t>
      </w:r>
    </w:p>
    <w:bookmarkEnd w:id="0"/>
    <w:bookmarkEnd w:id="1"/>
    <w:p w:rsidR="00035DE8" w:rsidRPr="00D157F5" w:rsidRDefault="00035DE8" w:rsidP="00035DE8">
      <w:pPr>
        <w:pStyle w:val="Heading1"/>
        <w:spacing w:before="360"/>
        <w:ind w:left="2438" w:hanging="2438"/>
        <w:rPr>
          <w:lang w:val="en-US"/>
        </w:rPr>
      </w:pPr>
      <w:r w:rsidRPr="00D157F5">
        <w:rPr>
          <w:lang w:val="en-US"/>
        </w:rPr>
        <w:t xml:space="preserve">Summary </w:t>
      </w:r>
    </w:p>
    <w:p w:rsidR="00FB53A8" w:rsidRDefault="005B5BED" w:rsidP="00FB53A8">
      <w:r>
        <w:rPr>
          <w:lang w:val="en-GB"/>
        </w:rPr>
        <w:t xml:space="preserve">In this paper, we </w:t>
      </w:r>
      <w:r w:rsidR="00FB53A8">
        <w:rPr>
          <w:lang w:val="en-GB"/>
        </w:rPr>
        <w:t xml:space="preserve">gave </w:t>
      </w:r>
      <w:r w:rsidR="00FB53A8" w:rsidRPr="00FB53A8">
        <w:t xml:space="preserve">a further discussion on the PDCCH/PCFICH parameters setup </w:t>
      </w:r>
      <w:r w:rsidR="00FB53A8">
        <w:t xml:space="preserve">based on the WF endorsed in </w:t>
      </w:r>
      <w:r w:rsidR="00FB53A8" w:rsidRPr="00FB53A8">
        <w:t>RAN4#71 RRM AH</w:t>
      </w:r>
      <w:r w:rsidR="00FB53A8">
        <w:t xml:space="preserve"> [1] with the following observations:</w:t>
      </w:r>
    </w:p>
    <w:p w:rsidR="00631127" w:rsidRDefault="00631127" w:rsidP="00631127">
      <w:pPr>
        <w:pStyle w:val="ListParagraph"/>
        <w:numPr>
          <w:ilvl w:val="0"/>
          <w:numId w:val="15"/>
        </w:numPr>
        <w:rPr>
          <w:i/>
          <w:lang w:val="en-GB"/>
        </w:rPr>
      </w:pPr>
      <w:r w:rsidRPr="00631127">
        <w:rPr>
          <w:i/>
          <w:lang w:val="en-GB"/>
        </w:rPr>
        <w:t xml:space="preserve">Observation 1: Although the </w:t>
      </w:r>
      <w:proofErr w:type="spellStart"/>
      <w:r w:rsidRPr="00631127">
        <w:rPr>
          <w:i/>
          <w:lang w:val="en-GB"/>
        </w:rPr>
        <w:t>eNB</w:t>
      </w:r>
      <w:proofErr w:type="spellEnd"/>
      <w:r w:rsidRPr="00631127">
        <w:rPr>
          <w:i/>
          <w:lang w:val="en-GB"/>
        </w:rPr>
        <w:t xml:space="preserve"> does not have to follow the parameter settings defined in Table 7.6.1-1 and Table 7.6.1-2 in TS 36.133 for PDCCH transmission, the system performance would be degraded if the </w:t>
      </w:r>
      <w:proofErr w:type="spellStart"/>
      <w:r w:rsidRPr="00631127">
        <w:rPr>
          <w:i/>
          <w:lang w:val="en-GB"/>
        </w:rPr>
        <w:t>eNB</w:t>
      </w:r>
      <w:proofErr w:type="spellEnd"/>
      <w:r w:rsidRPr="00631127">
        <w:rPr>
          <w:i/>
          <w:lang w:val="en-GB"/>
        </w:rPr>
        <w:t xml:space="preserve"> PDCCH transmission parameters have large differences with that of hypothetical PDCCH transmission due to the UE may not be able to make correct judgment on its INS/OOS status</w:t>
      </w:r>
      <w:r w:rsidR="001D29AD">
        <w:rPr>
          <w:i/>
          <w:lang w:val="en-GB"/>
        </w:rPr>
        <w:t xml:space="preserve"> </w:t>
      </w:r>
      <w:r w:rsidRPr="00631127">
        <w:rPr>
          <w:i/>
          <w:lang w:val="en-GB"/>
        </w:rPr>
        <w:t>.</w:t>
      </w:r>
      <w:r w:rsidR="001D29AD">
        <w:rPr>
          <w:i/>
          <w:lang w:val="en-GB"/>
        </w:rPr>
        <w:t xml:space="preserve">Thus, it is important to minimize the difference of the parameter settings for the </w:t>
      </w:r>
      <w:r w:rsidR="001D29AD" w:rsidRPr="001D29AD">
        <w:rPr>
          <w:i/>
          <w:lang w:val="en-GB"/>
        </w:rPr>
        <w:t xml:space="preserve">hypothetical PDCCH transmission </w:t>
      </w:r>
      <w:r w:rsidR="001D29AD">
        <w:rPr>
          <w:i/>
          <w:lang w:val="en-GB"/>
        </w:rPr>
        <w:t>to those used in real systems.</w:t>
      </w:r>
    </w:p>
    <w:p w:rsidR="001D29AD" w:rsidRPr="00631127" w:rsidRDefault="001D29AD" w:rsidP="001D29AD">
      <w:pPr>
        <w:pStyle w:val="ListParagraph"/>
        <w:rPr>
          <w:i/>
          <w:lang w:val="en-GB"/>
        </w:rPr>
      </w:pPr>
    </w:p>
    <w:p w:rsidR="00631127" w:rsidRPr="001D29AD" w:rsidRDefault="00631127" w:rsidP="00631127">
      <w:pPr>
        <w:pStyle w:val="ListParagraph"/>
        <w:numPr>
          <w:ilvl w:val="0"/>
          <w:numId w:val="15"/>
        </w:numPr>
        <w:rPr>
          <w:i/>
          <w:lang w:val="en-GB"/>
        </w:rPr>
      </w:pPr>
      <w:r w:rsidRPr="00631127">
        <w:rPr>
          <w:i/>
          <w:lang w:val="en-GB"/>
        </w:rPr>
        <w:t xml:space="preserve">Observation 2: </w:t>
      </w:r>
      <w:r w:rsidR="001D29AD">
        <w:rPr>
          <w:i/>
          <w:lang w:val="en-GB"/>
        </w:rPr>
        <w:t xml:space="preserve">With the parameters </w:t>
      </w:r>
      <w:r w:rsidRPr="00631127">
        <w:rPr>
          <w:i/>
          <w:lang w:val="en-GB"/>
        </w:rPr>
        <w:t xml:space="preserve">on the endorsed WF [1], when </w:t>
      </w:r>
      <w:r w:rsidRPr="00631127">
        <w:rPr>
          <w:i/>
          <w:u w:val="single"/>
        </w:rPr>
        <w:t>one antenna port</w:t>
      </w:r>
      <w:r w:rsidRPr="00631127">
        <w:rPr>
          <w:i/>
        </w:rPr>
        <w:t xml:space="preserve"> is used for cell-specific reference signal, the </w:t>
      </w:r>
      <w:r w:rsidRPr="00631127">
        <w:rPr>
          <w:i/>
          <w:lang w:val="en-GB"/>
        </w:rPr>
        <w:t xml:space="preserve">PDCCH coverage for the LC-MTC UEs will be smaller than that for regular UE from RLM OOS point of view, while </w:t>
      </w:r>
      <w:r w:rsidRPr="00631127">
        <w:rPr>
          <w:i/>
          <w:u w:val="single"/>
          <w:lang w:val="en-GB"/>
        </w:rPr>
        <w:t xml:space="preserve">two </w:t>
      </w:r>
      <w:r w:rsidRPr="00631127">
        <w:rPr>
          <w:i/>
          <w:u w:val="single"/>
        </w:rPr>
        <w:t>or four antenna ports</w:t>
      </w:r>
      <w:r w:rsidRPr="00631127">
        <w:rPr>
          <w:i/>
        </w:rPr>
        <w:t xml:space="preserve"> are used for cell-specific reference signal, the </w:t>
      </w:r>
      <w:r w:rsidRPr="00631127">
        <w:rPr>
          <w:i/>
          <w:lang w:val="en-GB"/>
        </w:rPr>
        <w:t xml:space="preserve">PDCCH coverage for the LC-MTC UEs might be able to be near that for the regular UE if the proposed the </w:t>
      </w:r>
      <w:r w:rsidRPr="00631127">
        <w:rPr>
          <w:i/>
        </w:rPr>
        <w:t>ratio of PDCCH RE energy to average RS RE energy of [4]dB is finally agreed.</w:t>
      </w:r>
    </w:p>
    <w:p w:rsidR="001D29AD" w:rsidRPr="001D29AD" w:rsidRDefault="001D29AD" w:rsidP="001D29AD">
      <w:pPr>
        <w:pStyle w:val="ListParagraph"/>
        <w:rPr>
          <w:i/>
          <w:lang w:val="en-GB"/>
        </w:rPr>
      </w:pPr>
    </w:p>
    <w:p w:rsidR="00631127" w:rsidRPr="001D29AD" w:rsidRDefault="00631127" w:rsidP="00631127">
      <w:pPr>
        <w:pStyle w:val="ListParagraph"/>
        <w:numPr>
          <w:ilvl w:val="0"/>
          <w:numId w:val="15"/>
        </w:numPr>
        <w:rPr>
          <w:i/>
          <w:lang w:val="en-GB"/>
        </w:rPr>
      </w:pPr>
      <w:r w:rsidRPr="00631127">
        <w:rPr>
          <w:i/>
          <w:lang w:val="en-GB"/>
        </w:rPr>
        <w:t xml:space="preserve">Observation 3: </w:t>
      </w:r>
      <w:r w:rsidR="001D29AD">
        <w:rPr>
          <w:i/>
          <w:lang w:val="en-GB"/>
        </w:rPr>
        <w:t xml:space="preserve">If </w:t>
      </w:r>
      <w:r w:rsidRPr="00631127">
        <w:rPr>
          <w:i/>
        </w:rPr>
        <w:t>the ratio of PCFICH RE energy to average RS RE energy of the regular UEs for regular UE would be reused for LC-MTC UEs</w:t>
      </w:r>
      <w:r w:rsidR="001D29AD">
        <w:rPr>
          <w:i/>
        </w:rPr>
        <w:t xml:space="preserve"> according to the </w:t>
      </w:r>
      <w:r w:rsidR="001D29AD" w:rsidRPr="001D29AD">
        <w:rPr>
          <w:i/>
          <w:lang w:val="en-GB"/>
        </w:rPr>
        <w:t xml:space="preserve">endorsed WF [1], </w:t>
      </w:r>
      <w:r w:rsidR="001D29AD">
        <w:rPr>
          <w:i/>
          <w:lang w:val="en-GB"/>
        </w:rPr>
        <w:t>the</w:t>
      </w:r>
      <w:r w:rsidRPr="00631127">
        <w:rPr>
          <w:i/>
        </w:rPr>
        <w:t xml:space="preserve"> increase the </w:t>
      </w:r>
      <w:r w:rsidR="001D29AD">
        <w:rPr>
          <w:i/>
        </w:rPr>
        <w:t xml:space="preserve">PDCCH coverage for LC-MTC UE </w:t>
      </w:r>
      <w:r w:rsidRPr="00631127">
        <w:rPr>
          <w:i/>
        </w:rPr>
        <w:t xml:space="preserve">would be constrained by the fact that PCFICH coverage for the LC-MTC is </w:t>
      </w:r>
      <w:r w:rsidR="001D29AD">
        <w:rPr>
          <w:i/>
        </w:rPr>
        <w:t xml:space="preserve">still </w:t>
      </w:r>
      <w:r w:rsidRPr="00631127">
        <w:rPr>
          <w:i/>
        </w:rPr>
        <w:t>smaller than that for the regular UE.</w:t>
      </w:r>
    </w:p>
    <w:p w:rsidR="001D29AD" w:rsidRPr="001D29AD" w:rsidRDefault="001D29AD" w:rsidP="001D29AD">
      <w:pPr>
        <w:pStyle w:val="ListParagraph"/>
        <w:rPr>
          <w:i/>
          <w:lang w:val="en-GB"/>
        </w:rPr>
      </w:pPr>
    </w:p>
    <w:p w:rsidR="00631127" w:rsidRPr="00631127" w:rsidRDefault="00631127" w:rsidP="00631127">
      <w:pPr>
        <w:pStyle w:val="ListParagraph"/>
        <w:numPr>
          <w:ilvl w:val="0"/>
          <w:numId w:val="15"/>
        </w:numPr>
        <w:rPr>
          <w:i/>
          <w:lang w:val="en-GB"/>
        </w:rPr>
      </w:pPr>
      <w:r w:rsidRPr="00631127">
        <w:rPr>
          <w:i/>
          <w:lang w:val="en-GB"/>
        </w:rPr>
        <w:t>Observation 4: To keep the consistency between the OOS and INS</w:t>
      </w:r>
      <w:r w:rsidR="001D29AD">
        <w:rPr>
          <w:i/>
          <w:lang w:val="en-GB"/>
        </w:rPr>
        <w:t xml:space="preserve"> for </w:t>
      </w:r>
      <w:r w:rsidR="001D29AD" w:rsidRPr="001D29AD">
        <w:rPr>
          <w:i/>
        </w:rPr>
        <w:t xml:space="preserve">LC-MTC </w:t>
      </w:r>
      <w:r w:rsidR="001D29AD">
        <w:rPr>
          <w:i/>
        </w:rPr>
        <w:t>UEs</w:t>
      </w:r>
      <w:r w:rsidR="001D29AD">
        <w:rPr>
          <w:i/>
          <w:lang w:val="en-GB"/>
        </w:rPr>
        <w:t xml:space="preserve"> </w:t>
      </w:r>
      <w:r w:rsidRPr="00631127">
        <w:rPr>
          <w:i/>
          <w:lang w:val="en-GB"/>
        </w:rPr>
        <w:t xml:space="preserve">, the </w:t>
      </w:r>
      <w:r w:rsidRPr="00631127">
        <w:rPr>
          <w:i/>
        </w:rPr>
        <w:t xml:space="preserve">ratio of PDCCH RE energy to average RS RE energy for INS for regular UE may also be reused for LC-MTC UEs when </w:t>
      </w:r>
      <w:r w:rsidRPr="00631127">
        <w:rPr>
          <w:i/>
          <w:u w:val="single"/>
        </w:rPr>
        <w:t>one antenna port</w:t>
      </w:r>
      <w:r w:rsidRPr="00631127">
        <w:rPr>
          <w:i/>
        </w:rPr>
        <w:t xml:space="preserve"> is used for cell-specific reference signal. In this case, the PDCCH coverage for LC-MTC UEs when </w:t>
      </w:r>
      <w:r w:rsidRPr="00631127">
        <w:rPr>
          <w:i/>
          <w:u w:val="single"/>
        </w:rPr>
        <w:t>one antenna port</w:t>
      </w:r>
      <w:r w:rsidRPr="00631127">
        <w:rPr>
          <w:i/>
        </w:rPr>
        <w:t xml:space="preserve"> is used for cell-specific reference signal w</w:t>
      </w:r>
      <w:r w:rsidR="001D29AD">
        <w:rPr>
          <w:i/>
        </w:rPr>
        <w:t>ill be smaller than regular UEs</w:t>
      </w:r>
      <w:r w:rsidRPr="00631127">
        <w:rPr>
          <w:i/>
        </w:rPr>
        <w:t>.</w:t>
      </w:r>
    </w:p>
    <w:p w:rsidR="00035DE8" w:rsidRPr="00D157F5" w:rsidRDefault="00035DE8" w:rsidP="00035DE8">
      <w:pPr>
        <w:pStyle w:val="Heading1"/>
        <w:spacing w:before="360"/>
        <w:ind w:left="2438" w:hanging="2438"/>
        <w:rPr>
          <w:lang w:val="en-US"/>
        </w:rPr>
      </w:pPr>
      <w:r w:rsidRPr="00D157F5">
        <w:rPr>
          <w:lang w:val="en-US"/>
        </w:rPr>
        <w:t>References</w:t>
      </w:r>
    </w:p>
    <w:p w:rsidR="000F63F2" w:rsidRDefault="000F63F2" w:rsidP="00671418">
      <w:pPr>
        <w:numPr>
          <w:ilvl w:val="0"/>
          <w:numId w:val="1"/>
        </w:numPr>
        <w:tabs>
          <w:tab w:val="num" w:pos="142"/>
          <w:tab w:val="left" w:pos="360"/>
        </w:tabs>
        <w:spacing w:after="0"/>
        <w:ind w:left="425" w:hanging="425"/>
        <w:jc w:val="both"/>
      </w:pPr>
      <w:r>
        <w:t>3GPP</w:t>
      </w:r>
      <w:r w:rsidR="003B766D">
        <w:t xml:space="preserve"> </w:t>
      </w:r>
      <w:r w:rsidR="00827CCB">
        <w:t>TS</w:t>
      </w:r>
      <w:r>
        <w:t>36.133</w:t>
      </w:r>
      <w:r w:rsidR="00827CCB">
        <w:t>,</w:t>
      </w:r>
      <w:r>
        <w:t xml:space="preserve"> </w:t>
      </w:r>
      <w:r w:rsidR="00671418">
        <w:t>E-UTRA Requirements for support of radio resource management</w:t>
      </w:r>
      <w:r w:rsidR="00827CCB">
        <w:t>.</w:t>
      </w:r>
    </w:p>
    <w:p w:rsidR="00336F30" w:rsidRDefault="00336F30" w:rsidP="00336F30">
      <w:pPr>
        <w:numPr>
          <w:ilvl w:val="0"/>
          <w:numId w:val="1"/>
        </w:numPr>
        <w:tabs>
          <w:tab w:val="num" w:pos="142"/>
          <w:tab w:val="left" w:pos="360"/>
        </w:tabs>
        <w:spacing w:after="0"/>
        <w:ind w:left="425" w:hanging="425"/>
        <w:jc w:val="both"/>
      </w:pPr>
      <w:r>
        <w:t>3GPP TS 36.214, E-UTRA –UTRA Physical layer Measurements.</w:t>
      </w:r>
    </w:p>
    <w:p w:rsidR="003E4912" w:rsidRDefault="003E4912" w:rsidP="003E4912">
      <w:pPr>
        <w:numPr>
          <w:ilvl w:val="0"/>
          <w:numId w:val="1"/>
        </w:numPr>
        <w:tabs>
          <w:tab w:val="num" w:pos="142"/>
          <w:tab w:val="left" w:pos="360"/>
        </w:tabs>
        <w:spacing w:after="0"/>
        <w:ind w:left="425" w:hanging="425"/>
        <w:jc w:val="both"/>
      </w:pPr>
      <w:r w:rsidRPr="003E4912">
        <w:t>R4-71AH-0087</w:t>
      </w:r>
      <w:r>
        <w:t xml:space="preserve">, </w:t>
      </w:r>
      <w:r w:rsidRPr="003E4912">
        <w:t>Way Forward on RLM Requirements for LC-MTC</w:t>
      </w:r>
      <w:r>
        <w:t xml:space="preserve">, </w:t>
      </w:r>
      <w:proofErr w:type="spellStart"/>
      <w:r w:rsidRPr="003E4912">
        <w:t>Huawei</w:t>
      </w:r>
      <w:proofErr w:type="spellEnd"/>
      <w:r w:rsidRPr="003E4912">
        <w:t xml:space="preserve">, </w:t>
      </w:r>
      <w:proofErr w:type="spellStart"/>
      <w:r w:rsidRPr="003E4912">
        <w:t>HiSilicon</w:t>
      </w:r>
      <w:proofErr w:type="spellEnd"/>
      <w:r w:rsidRPr="003E4912">
        <w:t>, Ericsson</w:t>
      </w:r>
    </w:p>
    <w:p w:rsidR="00E63466" w:rsidRDefault="00E257BD" w:rsidP="00E257BD">
      <w:pPr>
        <w:numPr>
          <w:ilvl w:val="0"/>
          <w:numId w:val="1"/>
        </w:numPr>
        <w:tabs>
          <w:tab w:val="num" w:pos="142"/>
          <w:tab w:val="left" w:pos="360"/>
        </w:tabs>
        <w:spacing w:after="0"/>
        <w:ind w:left="425" w:hanging="425"/>
        <w:jc w:val="both"/>
      </w:pPr>
      <w:r>
        <w:t xml:space="preserve">R4-71AH-0088, WF on RLM requirements in DRX for Low Cost MTC UE, Ericsson, </w:t>
      </w:r>
      <w:r w:rsidRPr="00E257BD">
        <w:t xml:space="preserve">Ericsson, </w:t>
      </w:r>
      <w:proofErr w:type="spellStart"/>
      <w:r w:rsidRPr="00E257BD">
        <w:t>Huawei</w:t>
      </w:r>
      <w:proofErr w:type="spellEnd"/>
      <w:r w:rsidRPr="00E257BD">
        <w:t xml:space="preserve">, </w:t>
      </w:r>
      <w:proofErr w:type="spellStart"/>
      <w:r w:rsidRPr="00E257BD">
        <w:t>HiSilicon</w:t>
      </w:r>
      <w:proofErr w:type="spellEnd"/>
    </w:p>
    <w:sectPr w:rsidR="00E63466" w:rsidSect="00090824">
      <w:foot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31A" w:rsidRDefault="005B231A">
      <w:pPr>
        <w:spacing w:after="0"/>
      </w:pPr>
      <w:r>
        <w:separator/>
      </w:r>
    </w:p>
  </w:endnote>
  <w:endnote w:type="continuationSeparator" w:id="0">
    <w:p w:rsidR="005B231A" w:rsidRDefault="005B231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panose1 w:val="02010609060101010101"/>
    <w:charset w:val="86"/>
    <w:family w:val="modern"/>
    <w:pitch w:val="fixed"/>
    <w:sig w:usb0="800002BF" w:usb1="38CF7CFA" w:usb2="00000016" w:usb3="00000000" w:csb0="00040001"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DCF" w:rsidRDefault="00120201">
    <w:pPr>
      <w:pStyle w:val="Footer"/>
      <w:jc w:val="center"/>
    </w:pPr>
    <w:fldSimple w:instr=" PAGE   \* MERGEFORMAT ">
      <w:r w:rsidR="004C2C7D">
        <w:rPr>
          <w:noProof/>
        </w:rPr>
        <w:t>3</w:t>
      </w:r>
    </w:fldSimple>
  </w:p>
  <w:p w:rsidR="008D3DCF" w:rsidRDefault="008D3D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31A" w:rsidRDefault="005B231A">
      <w:pPr>
        <w:spacing w:after="0"/>
      </w:pPr>
      <w:r>
        <w:separator/>
      </w:r>
    </w:p>
  </w:footnote>
  <w:footnote w:type="continuationSeparator" w:id="0">
    <w:p w:rsidR="005B231A" w:rsidRDefault="005B231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E0E3EE2"/>
    <w:lvl w:ilvl="0">
      <w:start w:val="1"/>
      <w:numFmt w:val="bullet"/>
      <w:lvlText w:val=""/>
      <w:lvlJc w:val="left"/>
      <w:pPr>
        <w:tabs>
          <w:tab w:val="num" w:pos="720"/>
        </w:tabs>
        <w:ind w:left="720" w:hanging="360"/>
      </w:pPr>
      <w:rPr>
        <w:rFonts w:ascii="Symbol" w:hAnsi="Symbol" w:hint="default"/>
      </w:rPr>
    </w:lvl>
  </w:abstractNum>
  <w:abstractNum w:abstractNumId="1">
    <w:nsid w:val="141D4918"/>
    <w:multiLevelType w:val="hybridMultilevel"/>
    <w:tmpl w:val="B074D7C0"/>
    <w:lvl w:ilvl="0" w:tplc="9DCAB446">
      <w:start w:val="1"/>
      <w:numFmt w:val="bullet"/>
      <w:lvlText w:val="•"/>
      <w:lvlJc w:val="left"/>
      <w:pPr>
        <w:tabs>
          <w:tab w:val="num" w:pos="720"/>
        </w:tabs>
        <w:ind w:left="720" w:hanging="360"/>
      </w:pPr>
      <w:rPr>
        <w:rFonts w:ascii="Times New Roman" w:hAnsi="Times New Roman" w:hint="default"/>
      </w:rPr>
    </w:lvl>
    <w:lvl w:ilvl="1" w:tplc="79226A1C">
      <w:start w:val="3794"/>
      <w:numFmt w:val="bullet"/>
      <w:lvlText w:val="–"/>
      <w:lvlJc w:val="left"/>
      <w:pPr>
        <w:tabs>
          <w:tab w:val="num" w:pos="1440"/>
        </w:tabs>
        <w:ind w:left="1440" w:hanging="360"/>
      </w:pPr>
      <w:rPr>
        <w:rFonts w:ascii="Times New Roman" w:hAnsi="Times New Roman" w:hint="default"/>
      </w:rPr>
    </w:lvl>
    <w:lvl w:ilvl="2" w:tplc="114E2762">
      <w:start w:val="3794"/>
      <w:numFmt w:val="bullet"/>
      <w:lvlText w:val="•"/>
      <w:lvlJc w:val="left"/>
      <w:pPr>
        <w:tabs>
          <w:tab w:val="num" w:pos="2160"/>
        </w:tabs>
        <w:ind w:left="2160" w:hanging="360"/>
      </w:pPr>
      <w:rPr>
        <w:rFonts w:ascii="Times New Roman" w:hAnsi="Times New Roman" w:hint="default"/>
      </w:rPr>
    </w:lvl>
    <w:lvl w:ilvl="3" w:tplc="347E3C72">
      <w:start w:val="3794"/>
      <w:numFmt w:val="bullet"/>
      <w:lvlText w:val="–"/>
      <w:lvlJc w:val="left"/>
      <w:pPr>
        <w:tabs>
          <w:tab w:val="num" w:pos="2880"/>
        </w:tabs>
        <w:ind w:left="2880" w:hanging="360"/>
      </w:pPr>
      <w:rPr>
        <w:rFonts w:ascii="Times New Roman" w:hAnsi="Times New Roman" w:hint="default"/>
      </w:rPr>
    </w:lvl>
    <w:lvl w:ilvl="4" w:tplc="3DEE3B3A">
      <w:start w:val="3794"/>
      <w:numFmt w:val="bullet"/>
      <w:lvlText w:val="»"/>
      <w:lvlJc w:val="left"/>
      <w:pPr>
        <w:tabs>
          <w:tab w:val="num" w:pos="3600"/>
        </w:tabs>
        <w:ind w:left="3600" w:hanging="360"/>
      </w:pPr>
      <w:rPr>
        <w:rFonts w:ascii="Times New Roman" w:hAnsi="Times New Roman" w:hint="default"/>
      </w:rPr>
    </w:lvl>
    <w:lvl w:ilvl="5" w:tplc="88280324" w:tentative="1">
      <w:start w:val="1"/>
      <w:numFmt w:val="bullet"/>
      <w:lvlText w:val="•"/>
      <w:lvlJc w:val="left"/>
      <w:pPr>
        <w:tabs>
          <w:tab w:val="num" w:pos="4320"/>
        </w:tabs>
        <w:ind w:left="4320" w:hanging="360"/>
      </w:pPr>
      <w:rPr>
        <w:rFonts w:ascii="Times New Roman" w:hAnsi="Times New Roman" w:hint="default"/>
      </w:rPr>
    </w:lvl>
    <w:lvl w:ilvl="6" w:tplc="B33CB226" w:tentative="1">
      <w:start w:val="1"/>
      <w:numFmt w:val="bullet"/>
      <w:lvlText w:val="•"/>
      <w:lvlJc w:val="left"/>
      <w:pPr>
        <w:tabs>
          <w:tab w:val="num" w:pos="5040"/>
        </w:tabs>
        <w:ind w:left="5040" w:hanging="360"/>
      </w:pPr>
      <w:rPr>
        <w:rFonts w:ascii="Times New Roman" w:hAnsi="Times New Roman" w:hint="default"/>
      </w:rPr>
    </w:lvl>
    <w:lvl w:ilvl="7" w:tplc="F5509A1C" w:tentative="1">
      <w:start w:val="1"/>
      <w:numFmt w:val="bullet"/>
      <w:lvlText w:val="•"/>
      <w:lvlJc w:val="left"/>
      <w:pPr>
        <w:tabs>
          <w:tab w:val="num" w:pos="5760"/>
        </w:tabs>
        <w:ind w:left="5760" w:hanging="360"/>
      </w:pPr>
      <w:rPr>
        <w:rFonts w:ascii="Times New Roman" w:hAnsi="Times New Roman" w:hint="default"/>
      </w:rPr>
    </w:lvl>
    <w:lvl w:ilvl="8" w:tplc="9432E56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62C4524"/>
    <w:multiLevelType w:val="hybridMultilevel"/>
    <w:tmpl w:val="5C7A1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4">
    <w:nsid w:val="3D397C85"/>
    <w:multiLevelType w:val="hybridMultilevel"/>
    <w:tmpl w:val="80361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FC5997"/>
    <w:multiLevelType w:val="hybridMultilevel"/>
    <w:tmpl w:val="8408B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900D8F"/>
    <w:multiLevelType w:val="multilevel"/>
    <w:tmpl w:val="C0645B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BCF3111"/>
    <w:multiLevelType w:val="hybridMultilevel"/>
    <w:tmpl w:val="4A80A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nsid w:val="72C71936"/>
    <w:multiLevelType w:val="multilevel"/>
    <w:tmpl w:val="04090025"/>
    <w:lvl w:ilvl="0">
      <w:start w:val="1"/>
      <w:numFmt w:val="decimal"/>
      <w:pStyle w:val="Heading1"/>
      <w:lvlText w:val="%1"/>
      <w:lvlJc w:val="left"/>
      <w:pPr>
        <w:tabs>
          <w:tab w:val="num" w:pos="5832"/>
        </w:tabs>
        <w:ind w:left="58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1"/>
  </w:num>
  <w:num w:numId="5">
    <w:abstractNumId w:val="0"/>
  </w:num>
  <w:num w:numId="6">
    <w:abstractNumId w:val="2"/>
  </w:num>
  <w:num w:numId="7">
    <w:abstractNumId w:val="7"/>
  </w:num>
  <w:num w:numId="8">
    <w:abstractNumId w:val="4"/>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035DE8"/>
    <w:rsid w:val="000026DE"/>
    <w:rsid w:val="00003245"/>
    <w:rsid w:val="00003B42"/>
    <w:rsid w:val="00010D7C"/>
    <w:rsid w:val="0001692F"/>
    <w:rsid w:val="00031504"/>
    <w:rsid w:val="00031A67"/>
    <w:rsid w:val="00035DE8"/>
    <w:rsid w:val="0004664B"/>
    <w:rsid w:val="00050860"/>
    <w:rsid w:val="00052E63"/>
    <w:rsid w:val="00054A39"/>
    <w:rsid w:val="00065BA2"/>
    <w:rsid w:val="00067B9B"/>
    <w:rsid w:val="00071A7D"/>
    <w:rsid w:val="00073E76"/>
    <w:rsid w:val="00076621"/>
    <w:rsid w:val="000807C3"/>
    <w:rsid w:val="00083679"/>
    <w:rsid w:val="0008404A"/>
    <w:rsid w:val="00090738"/>
    <w:rsid w:val="00090824"/>
    <w:rsid w:val="00091409"/>
    <w:rsid w:val="00092059"/>
    <w:rsid w:val="00092210"/>
    <w:rsid w:val="0009237F"/>
    <w:rsid w:val="000A12F4"/>
    <w:rsid w:val="000A2056"/>
    <w:rsid w:val="000A24E3"/>
    <w:rsid w:val="000A2F76"/>
    <w:rsid w:val="000A3AA2"/>
    <w:rsid w:val="000B1EE6"/>
    <w:rsid w:val="000C0AA0"/>
    <w:rsid w:val="000C3001"/>
    <w:rsid w:val="000C428F"/>
    <w:rsid w:val="000D0D44"/>
    <w:rsid w:val="000D0F16"/>
    <w:rsid w:val="000D5A78"/>
    <w:rsid w:val="000D7BD0"/>
    <w:rsid w:val="000E5BF2"/>
    <w:rsid w:val="000F3A75"/>
    <w:rsid w:val="000F49F7"/>
    <w:rsid w:val="000F5CA5"/>
    <w:rsid w:val="000F63F2"/>
    <w:rsid w:val="001004F6"/>
    <w:rsid w:val="00105162"/>
    <w:rsid w:val="00106B4B"/>
    <w:rsid w:val="001117B4"/>
    <w:rsid w:val="00114E04"/>
    <w:rsid w:val="0011709F"/>
    <w:rsid w:val="00120201"/>
    <w:rsid w:val="00125F0C"/>
    <w:rsid w:val="00126BDB"/>
    <w:rsid w:val="001339D8"/>
    <w:rsid w:val="00140E15"/>
    <w:rsid w:val="00142C8F"/>
    <w:rsid w:val="00143135"/>
    <w:rsid w:val="0014744E"/>
    <w:rsid w:val="00154AF6"/>
    <w:rsid w:val="00154D9C"/>
    <w:rsid w:val="001606CE"/>
    <w:rsid w:val="001631D5"/>
    <w:rsid w:val="00167373"/>
    <w:rsid w:val="00167611"/>
    <w:rsid w:val="00173361"/>
    <w:rsid w:val="00183B03"/>
    <w:rsid w:val="00186067"/>
    <w:rsid w:val="00186B7D"/>
    <w:rsid w:val="0018716C"/>
    <w:rsid w:val="00191238"/>
    <w:rsid w:val="0019165A"/>
    <w:rsid w:val="00195618"/>
    <w:rsid w:val="001A1149"/>
    <w:rsid w:val="001B2B6F"/>
    <w:rsid w:val="001D0F14"/>
    <w:rsid w:val="001D29AD"/>
    <w:rsid w:val="001D720E"/>
    <w:rsid w:val="001D7263"/>
    <w:rsid w:val="001E7434"/>
    <w:rsid w:val="001F1E02"/>
    <w:rsid w:val="001F3117"/>
    <w:rsid w:val="001F4FCB"/>
    <w:rsid w:val="001F5F39"/>
    <w:rsid w:val="001F73BA"/>
    <w:rsid w:val="00200CCE"/>
    <w:rsid w:val="0020274A"/>
    <w:rsid w:val="002042E4"/>
    <w:rsid w:val="00205232"/>
    <w:rsid w:val="00207732"/>
    <w:rsid w:val="00207A32"/>
    <w:rsid w:val="00210C2D"/>
    <w:rsid w:val="00213F13"/>
    <w:rsid w:val="00215498"/>
    <w:rsid w:val="00215A20"/>
    <w:rsid w:val="00220A5E"/>
    <w:rsid w:val="00225C24"/>
    <w:rsid w:val="00233DBB"/>
    <w:rsid w:val="00236BD3"/>
    <w:rsid w:val="00237D90"/>
    <w:rsid w:val="00242A50"/>
    <w:rsid w:val="00247526"/>
    <w:rsid w:val="00250637"/>
    <w:rsid w:val="0025299A"/>
    <w:rsid w:val="00257BE6"/>
    <w:rsid w:val="00260ED1"/>
    <w:rsid w:val="002633CE"/>
    <w:rsid w:val="00264034"/>
    <w:rsid w:val="002658D9"/>
    <w:rsid w:val="00267788"/>
    <w:rsid w:val="00275798"/>
    <w:rsid w:val="00283C11"/>
    <w:rsid w:val="002900BA"/>
    <w:rsid w:val="002909F8"/>
    <w:rsid w:val="00290BA4"/>
    <w:rsid w:val="002920DD"/>
    <w:rsid w:val="00292DFD"/>
    <w:rsid w:val="00295B8F"/>
    <w:rsid w:val="002A3187"/>
    <w:rsid w:val="002A5907"/>
    <w:rsid w:val="002B12D3"/>
    <w:rsid w:val="002B2722"/>
    <w:rsid w:val="002B48A1"/>
    <w:rsid w:val="002C0DDC"/>
    <w:rsid w:val="002C2604"/>
    <w:rsid w:val="002C5BD2"/>
    <w:rsid w:val="002D125C"/>
    <w:rsid w:val="002D5245"/>
    <w:rsid w:val="002E01B6"/>
    <w:rsid w:val="002E31F3"/>
    <w:rsid w:val="002E4114"/>
    <w:rsid w:val="002E6D5F"/>
    <w:rsid w:val="002E7BBD"/>
    <w:rsid w:val="002F1C80"/>
    <w:rsid w:val="00300B63"/>
    <w:rsid w:val="003012F3"/>
    <w:rsid w:val="00301B56"/>
    <w:rsid w:val="00304C88"/>
    <w:rsid w:val="00307A57"/>
    <w:rsid w:val="00310607"/>
    <w:rsid w:val="003107AB"/>
    <w:rsid w:val="00313865"/>
    <w:rsid w:val="00314FEF"/>
    <w:rsid w:val="0031524E"/>
    <w:rsid w:val="00333442"/>
    <w:rsid w:val="00334EC3"/>
    <w:rsid w:val="00336F30"/>
    <w:rsid w:val="00337396"/>
    <w:rsid w:val="00343387"/>
    <w:rsid w:val="00350A78"/>
    <w:rsid w:val="00352034"/>
    <w:rsid w:val="00354F73"/>
    <w:rsid w:val="00360F7E"/>
    <w:rsid w:val="00364D08"/>
    <w:rsid w:val="00365283"/>
    <w:rsid w:val="0036569E"/>
    <w:rsid w:val="0037753D"/>
    <w:rsid w:val="003776DB"/>
    <w:rsid w:val="00377A92"/>
    <w:rsid w:val="00381B7F"/>
    <w:rsid w:val="0039403F"/>
    <w:rsid w:val="00397F89"/>
    <w:rsid w:val="003A16AA"/>
    <w:rsid w:val="003A2F6E"/>
    <w:rsid w:val="003A2F88"/>
    <w:rsid w:val="003A6B83"/>
    <w:rsid w:val="003B08AB"/>
    <w:rsid w:val="003B2DFE"/>
    <w:rsid w:val="003B4DBA"/>
    <w:rsid w:val="003B766D"/>
    <w:rsid w:val="003C0AB7"/>
    <w:rsid w:val="003C0C86"/>
    <w:rsid w:val="003C17FB"/>
    <w:rsid w:val="003C23CD"/>
    <w:rsid w:val="003C3F3A"/>
    <w:rsid w:val="003C4422"/>
    <w:rsid w:val="003C66C6"/>
    <w:rsid w:val="003D0746"/>
    <w:rsid w:val="003D33D3"/>
    <w:rsid w:val="003D358B"/>
    <w:rsid w:val="003D679C"/>
    <w:rsid w:val="003E290B"/>
    <w:rsid w:val="003E4912"/>
    <w:rsid w:val="003E7B05"/>
    <w:rsid w:val="003F1495"/>
    <w:rsid w:val="003F165D"/>
    <w:rsid w:val="003F36B2"/>
    <w:rsid w:val="003F4C02"/>
    <w:rsid w:val="003F6E21"/>
    <w:rsid w:val="00410F3F"/>
    <w:rsid w:val="004144E6"/>
    <w:rsid w:val="0042341E"/>
    <w:rsid w:val="0042541D"/>
    <w:rsid w:val="00425B6F"/>
    <w:rsid w:val="00426574"/>
    <w:rsid w:val="00430041"/>
    <w:rsid w:val="00431B75"/>
    <w:rsid w:val="00434EC7"/>
    <w:rsid w:val="004458EE"/>
    <w:rsid w:val="004473FF"/>
    <w:rsid w:val="00450066"/>
    <w:rsid w:val="0045017C"/>
    <w:rsid w:val="00450B78"/>
    <w:rsid w:val="00453AD5"/>
    <w:rsid w:val="00453E7D"/>
    <w:rsid w:val="004626F1"/>
    <w:rsid w:val="00463D91"/>
    <w:rsid w:val="0046418C"/>
    <w:rsid w:val="00464730"/>
    <w:rsid w:val="0046685F"/>
    <w:rsid w:val="00471E4E"/>
    <w:rsid w:val="00480982"/>
    <w:rsid w:val="00482D9D"/>
    <w:rsid w:val="00484A3D"/>
    <w:rsid w:val="00484E68"/>
    <w:rsid w:val="004A3EB2"/>
    <w:rsid w:val="004A60AE"/>
    <w:rsid w:val="004A7607"/>
    <w:rsid w:val="004A785F"/>
    <w:rsid w:val="004B339B"/>
    <w:rsid w:val="004B414C"/>
    <w:rsid w:val="004C1CE3"/>
    <w:rsid w:val="004C2C7D"/>
    <w:rsid w:val="004C5635"/>
    <w:rsid w:val="004C57E3"/>
    <w:rsid w:val="004C5A90"/>
    <w:rsid w:val="004D6644"/>
    <w:rsid w:val="004D6FC9"/>
    <w:rsid w:val="004E43C0"/>
    <w:rsid w:val="004E4956"/>
    <w:rsid w:val="004E5615"/>
    <w:rsid w:val="004E60D8"/>
    <w:rsid w:val="004F7736"/>
    <w:rsid w:val="00500376"/>
    <w:rsid w:val="005040DE"/>
    <w:rsid w:val="005111E6"/>
    <w:rsid w:val="00513866"/>
    <w:rsid w:val="00514335"/>
    <w:rsid w:val="005149B1"/>
    <w:rsid w:val="00520720"/>
    <w:rsid w:val="00523C82"/>
    <w:rsid w:val="00523EE0"/>
    <w:rsid w:val="005241DD"/>
    <w:rsid w:val="00526C3B"/>
    <w:rsid w:val="00530E8C"/>
    <w:rsid w:val="0054065F"/>
    <w:rsid w:val="0054399F"/>
    <w:rsid w:val="0055128B"/>
    <w:rsid w:val="00554AE0"/>
    <w:rsid w:val="00555C05"/>
    <w:rsid w:val="00556C3D"/>
    <w:rsid w:val="00557215"/>
    <w:rsid w:val="00560449"/>
    <w:rsid w:val="005607B2"/>
    <w:rsid w:val="00560BDD"/>
    <w:rsid w:val="00566A87"/>
    <w:rsid w:val="00571458"/>
    <w:rsid w:val="00572FC0"/>
    <w:rsid w:val="0057480F"/>
    <w:rsid w:val="00575963"/>
    <w:rsid w:val="00575C4D"/>
    <w:rsid w:val="005828B1"/>
    <w:rsid w:val="00585818"/>
    <w:rsid w:val="0058744B"/>
    <w:rsid w:val="00587AD1"/>
    <w:rsid w:val="00593CE9"/>
    <w:rsid w:val="00593EF4"/>
    <w:rsid w:val="00596A44"/>
    <w:rsid w:val="005A3221"/>
    <w:rsid w:val="005B02F1"/>
    <w:rsid w:val="005B22EE"/>
    <w:rsid w:val="005B231A"/>
    <w:rsid w:val="005B2748"/>
    <w:rsid w:val="005B2E2A"/>
    <w:rsid w:val="005B34C1"/>
    <w:rsid w:val="005B56B4"/>
    <w:rsid w:val="005B5BED"/>
    <w:rsid w:val="005B5D24"/>
    <w:rsid w:val="005C0E37"/>
    <w:rsid w:val="005C6C27"/>
    <w:rsid w:val="005D3E1C"/>
    <w:rsid w:val="005D66BC"/>
    <w:rsid w:val="005E11E0"/>
    <w:rsid w:val="005E546C"/>
    <w:rsid w:val="005E65F1"/>
    <w:rsid w:val="005F1C6B"/>
    <w:rsid w:val="005F2063"/>
    <w:rsid w:val="005F217B"/>
    <w:rsid w:val="005F6E23"/>
    <w:rsid w:val="006012A5"/>
    <w:rsid w:val="00601AA4"/>
    <w:rsid w:val="0060393D"/>
    <w:rsid w:val="00607C00"/>
    <w:rsid w:val="006147B6"/>
    <w:rsid w:val="0061662A"/>
    <w:rsid w:val="00625CC3"/>
    <w:rsid w:val="00625F97"/>
    <w:rsid w:val="00631127"/>
    <w:rsid w:val="0063282E"/>
    <w:rsid w:val="00640CC3"/>
    <w:rsid w:val="00646009"/>
    <w:rsid w:val="006555F0"/>
    <w:rsid w:val="00665891"/>
    <w:rsid w:val="00666B04"/>
    <w:rsid w:val="006710E1"/>
    <w:rsid w:val="00671418"/>
    <w:rsid w:val="0067233A"/>
    <w:rsid w:val="00672BBE"/>
    <w:rsid w:val="006759FE"/>
    <w:rsid w:val="00680CCD"/>
    <w:rsid w:val="00681796"/>
    <w:rsid w:val="006870E5"/>
    <w:rsid w:val="00687D83"/>
    <w:rsid w:val="00696E91"/>
    <w:rsid w:val="00697853"/>
    <w:rsid w:val="006A0B99"/>
    <w:rsid w:val="006A1FF9"/>
    <w:rsid w:val="006A224E"/>
    <w:rsid w:val="006B3EEE"/>
    <w:rsid w:val="006B5B95"/>
    <w:rsid w:val="006B62A3"/>
    <w:rsid w:val="006B68AC"/>
    <w:rsid w:val="006C02C2"/>
    <w:rsid w:val="006C32D6"/>
    <w:rsid w:val="006C5869"/>
    <w:rsid w:val="006C7EF5"/>
    <w:rsid w:val="006D011B"/>
    <w:rsid w:val="006D229D"/>
    <w:rsid w:val="006D2F0C"/>
    <w:rsid w:val="006D71D3"/>
    <w:rsid w:val="006E22C7"/>
    <w:rsid w:val="006E2452"/>
    <w:rsid w:val="006E3192"/>
    <w:rsid w:val="006E3B34"/>
    <w:rsid w:val="006E3E69"/>
    <w:rsid w:val="006F1568"/>
    <w:rsid w:val="006F2E84"/>
    <w:rsid w:val="006F39D9"/>
    <w:rsid w:val="006F3C18"/>
    <w:rsid w:val="007033A8"/>
    <w:rsid w:val="00705323"/>
    <w:rsid w:val="00707CC1"/>
    <w:rsid w:val="007107E9"/>
    <w:rsid w:val="007116B0"/>
    <w:rsid w:val="0071518F"/>
    <w:rsid w:val="00721551"/>
    <w:rsid w:val="00725EF2"/>
    <w:rsid w:val="00733934"/>
    <w:rsid w:val="00733CDF"/>
    <w:rsid w:val="00736C2A"/>
    <w:rsid w:val="00740ACF"/>
    <w:rsid w:val="00741917"/>
    <w:rsid w:val="007422BE"/>
    <w:rsid w:val="00742E66"/>
    <w:rsid w:val="007450E5"/>
    <w:rsid w:val="0074738F"/>
    <w:rsid w:val="0074756D"/>
    <w:rsid w:val="007533A8"/>
    <w:rsid w:val="00760CB4"/>
    <w:rsid w:val="00763D8B"/>
    <w:rsid w:val="00774383"/>
    <w:rsid w:val="00776732"/>
    <w:rsid w:val="00776AE5"/>
    <w:rsid w:val="00784BBD"/>
    <w:rsid w:val="00784BC2"/>
    <w:rsid w:val="00785626"/>
    <w:rsid w:val="007916C9"/>
    <w:rsid w:val="007A0EC7"/>
    <w:rsid w:val="007B0757"/>
    <w:rsid w:val="007B518A"/>
    <w:rsid w:val="007B6982"/>
    <w:rsid w:val="007C1331"/>
    <w:rsid w:val="007C452B"/>
    <w:rsid w:val="007D1EDA"/>
    <w:rsid w:val="007D74FE"/>
    <w:rsid w:val="007E0C5E"/>
    <w:rsid w:val="007E61DE"/>
    <w:rsid w:val="007E6F2C"/>
    <w:rsid w:val="007F180B"/>
    <w:rsid w:val="007F531D"/>
    <w:rsid w:val="007F5E86"/>
    <w:rsid w:val="007F75E2"/>
    <w:rsid w:val="00804A81"/>
    <w:rsid w:val="00806BC6"/>
    <w:rsid w:val="008103F8"/>
    <w:rsid w:val="00813964"/>
    <w:rsid w:val="008149CD"/>
    <w:rsid w:val="00823CC5"/>
    <w:rsid w:val="00827CCB"/>
    <w:rsid w:val="008301C8"/>
    <w:rsid w:val="00830343"/>
    <w:rsid w:val="00831465"/>
    <w:rsid w:val="00834F54"/>
    <w:rsid w:val="008423FD"/>
    <w:rsid w:val="00845C82"/>
    <w:rsid w:val="0085367F"/>
    <w:rsid w:val="008538EA"/>
    <w:rsid w:val="008549A1"/>
    <w:rsid w:val="00861AAE"/>
    <w:rsid w:val="00861E26"/>
    <w:rsid w:val="00862FE4"/>
    <w:rsid w:val="008637FF"/>
    <w:rsid w:val="00873ED9"/>
    <w:rsid w:val="00874E9D"/>
    <w:rsid w:val="00877BFB"/>
    <w:rsid w:val="00877D92"/>
    <w:rsid w:val="008834C5"/>
    <w:rsid w:val="00890D6F"/>
    <w:rsid w:val="00890E93"/>
    <w:rsid w:val="0089112E"/>
    <w:rsid w:val="0089164B"/>
    <w:rsid w:val="008943FC"/>
    <w:rsid w:val="00894713"/>
    <w:rsid w:val="008A2CBB"/>
    <w:rsid w:val="008A394E"/>
    <w:rsid w:val="008A3A74"/>
    <w:rsid w:val="008A403F"/>
    <w:rsid w:val="008B165F"/>
    <w:rsid w:val="008C2C31"/>
    <w:rsid w:val="008D3DCF"/>
    <w:rsid w:val="008D5FCC"/>
    <w:rsid w:val="008D7D07"/>
    <w:rsid w:val="008E02B9"/>
    <w:rsid w:val="008E0DC8"/>
    <w:rsid w:val="008E17FF"/>
    <w:rsid w:val="008E3427"/>
    <w:rsid w:val="008F1E70"/>
    <w:rsid w:val="009032A4"/>
    <w:rsid w:val="00904CFB"/>
    <w:rsid w:val="00906FBD"/>
    <w:rsid w:val="009073C6"/>
    <w:rsid w:val="009138DE"/>
    <w:rsid w:val="00917BF7"/>
    <w:rsid w:val="009252B7"/>
    <w:rsid w:val="0093162B"/>
    <w:rsid w:val="00940C7A"/>
    <w:rsid w:val="009425E4"/>
    <w:rsid w:val="00942FE7"/>
    <w:rsid w:val="009435F0"/>
    <w:rsid w:val="0094529E"/>
    <w:rsid w:val="00950278"/>
    <w:rsid w:val="00950485"/>
    <w:rsid w:val="00950ACA"/>
    <w:rsid w:val="00951FEF"/>
    <w:rsid w:val="00952297"/>
    <w:rsid w:val="009531A3"/>
    <w:rsid w:val="00960479"/>
    <w:rsid w:val="00964C49"/>
    <w:rsid w:val="0097236E"/>
    <w:rsid w:val="00975133"/>
    <w:rsid w:val="00976F1D"/>
    <w:rsid w:val="009778A3"/>
    <w:rsid w:val="00982377"/>
    <w:rsid w:val="0099033E"/>
    <w:rsid w:val="009966FF"/>
    <w:rsid w:val="009A0918"/>
    <w:rsid w:val="009A10DE"/>
    <w:rsid w:val="009A4FD5"/>
    <w:rsid w:val="009B2098"/>
    <w:rsid w:val="009B2CA0"/>
    <w:rsid w:val="009B3D76"/>
    <w:rsid w:val="009B5A40"/>
    <w:rsid w:val="009B60A8"/>
    <w:rsid w:val="009B7237"/>
    <w:rsid w:val="009C45F1"/>
    <w:rsid w:val="009C615B"/>
    <w:rsid w:val="009C7A07"/>
    <w:rsid w:val="009D5981"/>
    <w:rsid w:val="009D599A"/>
    <w:rsid w:val="009E0F20"/>
    <w:rsid w:val="009F0A17"/>
    <w:rsid w:val="009F2479"/>
    <w:rsid w:val="009F2CF4"/>
    <w:rsid w:val="009F2D27"/>
    <w:rsid w:val="009F443D"/>
    <w:rsid w:val="009F6122"/>
    <w:rsid w:val="00A01B22"/>
    <w:rsid w:val="00A02441"/>
    <w:rsid w:val="00A03B29"/>
    <w:rsid w:val="00A05942"/>
    <w:rsid w:val="00A06BB7"/>
    <w:rsid w:val="00A125D6"/>
    <w:rsid w:val="00A13297"/>
    <w:rsid w:val="00A141B0"/>
    <w:rsid w:val="00A15C2A"/>
    <w:rsid w:val="00A21212"/>
    <w:rsid w:val="00A24C82"/>
    <w:rsid w:val="00A311B3"/>
    <w:rsid w:val="00A31C15"/>
    <w:rsid w:val="00A31F17"/>
    <w:rsid w:val="00A36308"/>
    <w:rsid w:val="00A439CA"/>
    <w:rsid w:val="00A45257"/>
    <w:rsid w:val="00A47591"/>
    <w:rsid w:val="00A47E16"/>
    <w:rsid w:val="00A55B6A"/>
    <w:rsid w:val="00A56D6C"/>
    <w:rsid w:val="00A61162"/>
    <w:rsid w:val="00A6300B"/>
    <w:rsid w:val="00A66775"/>
    <w:rsid w:val="00A66D54"/>
    <w:rsid w:val="00A75332"/>
    <w:rsid w:val="00A773BC"/>
    <w:rsid w:val="00A80F7D"/>
    <w:rsid w:val="00A81464"/>
    <w:rsid w:val="00A925CA"/>
    <w:rsid w:val="00A93C2E"/>
    <w:rsid w:val="00AA5E52"/>
    <w:rsid w:val="00AA60EF"/>
    <w:rsid w:val="00AC094F"/>
    <w:rsid w:val="00AC1309"/>
    <w:rsid w:val="00AC307B"/>
    <w:rsid w:val="00AD262E"/>
    <w:rsid w:val="00AE3E7B"/>
    <w:rsid w:val="00AF0121"/>
    <w:rsid w:val="00AF2683"/>
    <w:rsid w:val="00AF6F1C"/>
    <w:rsid w:val="00B00B84"/>
    <w:rsid w:val="00B10524"/>
    <w:rsid w:val="00B105DE"/>
    <w:rsid w:val="00B12DE8"/>
    <w:rsid w:val="00B14648"/>
    <w:rsid w:val="00B16282"/>
    <w:rsid w:val="00B16B8C"/>
    <w:rsid w:val="00B20214"/>
    <w:rsid w:val="00B20DC0"/>
    <w:rsid w:val="00B23333"/>
    <w:rsid w:val="00B26A4A"/>
    <w:rsid w:val="00B32B2B"/>
    <w:rsid w:val="00B40A5A"/>
    <w:rsid w:val="00B47431"/>
    <w:rsid w:val="00B50289"/>
    <w:rsid w:val="00B5155F"/>
    <w:rsid w:val="00B52DCB"/>
    <w:rsid w:val="00B540DD"/>
    <w:rsid w:val="00B66E7A"/>
    <w:rsid w:val="00B75817"/>
    <w:rsid w:val="00B80207"/>
    <w:rsid w:val="00B80A57"/>
    <w:rsid w:val="00B80E58"/>
    <w:rsid w:val="00B81B3C"/>
    <w:rsid w:val="00B83D14"/>
    <w:rsid w:val="00BA058D"/>
    <w:rsid w:val="00BA15E8"/>
    <w:rsid w:val="00BA225D"/>
    <w:rsid w:val="00BA376F"/>
    <w:rsid w:val="00BA57F1"/>
    <w:rsid w:val="00BB1223"/>
    <w:rsid w:val="00BB57DB"/>
    <w:rsid w:val="00BB5C3B"/>
    <w:rsid w:val="00BB5EC3"/>
    <w:rsid w:val="00BC07A2"/>
    <w:rsid w:val="00BC4C07"/>
    <w:rsid w:val="00BD10E8"/>
    <w:rsid w:val="00BD3B1B"/>
    <w:rsid w:val="00BD4021"/>
    <w:rsid w:val="00BD6BB1"/>
    <w:rsid w:val="00BE1F38"/>
    <w:rsid w:val="00BE30E1"/>
    <w:rsid w:val="00BF4688"/>
    <w:rsid w:val="00C0550F"/>
    <w:rsid w:val="00C07FAD"/>
    <w:rsid w:val="00C158BC"/>
    <w:rsid w:val="00C16702"/>
    <w:rsid w:val="00C22ADE"/>
    <w:rsid w:val="00C23B5A"/>
    <w:rsid w:val="00C246DF"/>
    <w:rsid w:val="00C2653B"/>
    <w:rsid w:val="00C27673"/>
    <w:rsid w:val="00C36019"/>
    <w:rsid w:val="00C45595"/>
    <w:rsid w:val="00C4775F"/>
    <w:rsid w:val="00C501BA"/>
    <w:rsid w:val="00C544C4"/>
    <w:rsid w:val="00C56218"/>
    <w:rsid w:val="00C62995"/>
    <w:rsid w:val="00C64810"/>
    <w:rsid w:val="00C670FD"/>
    <w:rsid w:val="00C72CB8"/>
    <w:rsid w:val="00C735AF"/>
    <w:rsid w:val="00C81479"/>
    <w:rsid w:val="00C85696"/>
    <w:rsid w:val="00C91249"/>
    <w:rsid w:val="00C912B4"/>
    <w:rsid w:val="00CA02F5"/>
    <w:rsid w:val="00CA3379"/>
    <w:rsid w:val="00CA5229"/>
    <w:rsid w:val="00CB2A07"/>
    <w:rsid w:val="00CB4DB1"/>
    <w:rsid w:val="00CC0E9A"/>
    <w:rsid w:val="00CC104A"/>
    <w:rsid w:val="00CC1819"/>
    <w:rsid w:val="00CD0EBE"/>
    <w:rsid w:val="00CD1C11"/>
    <w:rsid w:val="00CE7822"/>
    <w:rsid w:val="00D01B79"/>
    <w:rsid w:val="00D01F58"/>
    <w:rsid w:val="00D0584F"/>
    <w:rsid w:val="00D10C3D"/>
    <w:rsid w:val="00D14414"/>
    <w:rsid w:val="00D14754"/>
    <w:rsid w:val="00D157F5"/>
    <w:rsid w:val="00D27CBF"/>
    <w:rsid w:val="00D308B4"/>
    <w:rsid w:val="00D33396"/>
    <w:rsid w:val="00D337D7"/>
    <w:rsid w:val="00D3550A"/>
    <w:rsid w:val="00D35654"/>
    <w:rsid w:val="00D45027"/>
    <w:rsid w:val="00D55742"/>
    <w:rsid w:val="00D64F24"/>
    <w:rsid w:val="00D66106"/>
    <w:rsid w:val="00D668E6"/>
    <w:rsid w:val="00D67615"/>
    <w:rsid w:val="00D771EB"/>
    <w:rsid w:val="00D8755C"/>
    <w:rsid w:val="00D90FF4"/>
    <w:rsid w:val="00D91D8A"/>
    <w:rsid w:val="00D922F2"/>
    <w:rsid w:val="00D93B9F"/>
    <w:rsid w:val="00DA025B"/>
    <w:rsid w:val="00DA0503"/>
    <w:rsid w:val="00DA108C"/>
    <w:rsid w:val="00DA1977"/>
    <w:rsid w:val="00DA2049"/>
    <w:rsid w:val="00DA6F26"/>
    <w:rsid w:val="00DB038F"/>
    <w:rsid w:val="00DB3D78"/>
    <w:rsid w:val="00DB7A3B"/>
    <w:rsid w:val="00DC502F"/>
    <w:rsid w:val="00DC5DC5"/>
    <w:rsid w:val="00DD1BF9"/>
    <w:rsid w:val="00DE4263"/>
    <w:rsid w:val="00DE4FBA"/>
    <w:rsid w:val="00DE5BC6"/>
    <w:rsid w:val="00DF201A"/>
    <w:rsid w:val="00DF2255"/>
    <w:rsid w:val="00DF377C"/>
    <w:rsid w:val="00DF3A1B"/>
    <w:rsid w:val="00E048AE"/>
    <w:rsid w:val="00E0586B"/>
    <w:rsid w:val="00E12760"/>
    <w:rsid w:val="00E17F98"/>
    <w:rsid w:val="00E22F6B"/>
    <w:rsid w:val="00E23689"/>
    <w:rsid w:val="00E257BD"/>
    <w:rsid w:val="00E316D9"/>
    <w:rsid w:val="00E32467"/>
    <w:rsid w:val="00E35B99"/>
    <w:rsid w:val="00E40B3E"/>
    <w:rsid w:val="00E47048"/>
    <w:rsid w:val="00E52DE0"/>
    <w:rsid w:val="00E55812"/>
    <w:rsid w:val="00E55978"/>
    <w:rsid w:val="00E614F5"/>
    <w:rsid w:val="00E6194C"/>
    <w:rsid w:val="00E63466"/>
    <w:rsid w:val="00E63547"/>
    <w:rsid w:val="00E637EF"/>
    <w:rsid w:val="00E64729"/>
    <w:rsid w:val="00E664FC"/>
    <w:rsid w:val="00E7195F"/>
    <w:rsid w:val="00E73F00"/>
    <w:rsid w:val="00E77EA8"/>
    <w:rsid w:val="00E815FB"/>
    <w:rsid w:val="00E81B7C"/>
    <w:rsid w:val="00E841D0"/>
    <w:rsid w:val="00E964BB"/>
    <w:rsid w:val="00EA0FF6"/>
    <w:rsid w:val="00EB655F"/>
    <w:rsid w:val="00EC1E75"/>
    <w:rsid w:val="00EC2A30"/>
    <w:rsid w:val="00EC2CAD"/>
    <w:rsid w:val="00EC56A7"/>
    <w:rsid w:val="00EC5D7D"/>
    <w:rsid w:val="00EC6F6F"/>
    <w:rsid w:val="00ED19A0"/>
    <w:rsid w:val="00EE24E9"/>
    <w:rsid w:val="00EE2A76"/>
    <w:rsid w:val="00EE60C6"/>
    <w:rsid w:val="00EF4430"/>
    <w:rsid w:val="00EF4C8B"/>
    <w:rsid w:val="00EF6479"/>
    <w:rsid w:val="00F03DAC"/>
    <w:rsid w:val="00F04915"/>
    <w:rsid w:val="00F13EE4"/>
    <w:rsid w:val="00F357F6"/>
    <w:rsid w:val="00F42EA3"/>
    <w:rsid w:val="00F461C4"/>
    <w:rsid w:val="00F655A0"/>
    <w:rsid w:val="00F704D0"/>
    <w:rsid w:val="00F756E5"/>
    <w:rsid w:val="00F778F8"/>
    <w:rsid w:val="00F91FFF"/>
    <w:rsid w:val="00F9288F"/>
    <w:rsid w:val="00F9531D"/>
    <w:rsid w:val="00FA14C9"/>
    <w:rsid w:val="00FA5F9E"/>
    <w:rsid w:val="00FB11F5"/>
    <w:rsid w:val="00FB1D79"/>
    <w:rsid w:val="00FB509B"/>
    <w:rsid w:val="00FB53A8"/>
    <w:rsid w:val="00FB668C"/>
    <w:rsid w:val="00FC1432"/>
    <w:rsid w:val="00FC2266"/>
    <w:rsid w:val="00FC62D7"/>
    <w:rsid w:val="00FD5111"/>
    <w:rsid w:val="00FD6F65"/>
    <w:rsid w:val="00FE4AA4"/>
    <w:rsid w:val="00FF3630"/>
    <w:rsid w:val="00FF6A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DE8"/>
    <w:pPr>
      <w:spacing w:after="180"/>
    </w:pPr>
    <w:rPr>
      <w:rFonts w:ascii="Times New Roman" w:hAnsi="Times New Roman"/>
      <w:lang w:eastAsia="en-US"/>
    </w:rPr>
  </w:style>
  <w:style w:type="paragraph" w:styleId="Heading1">
    <w:name w:val="heading 1"/>
    <w:aliases w:val="H1,Memo Heading 1,h1"/>
    <w:next w:val="Normal"/>
    <w:link w:val="Heading1Char"/>
    <w:qFormat/>
    <w:rsid w:val="00035DE8"/>
    <w:pPr>
      <w:keepNext/>
      <w:keepLines/>
      <w:numPr>
        <w:numId w:val="2"/>
      </w:numPr>
      <w:pBdr>
        <w:top w:val="single" w:sz="12" w:space="3" w:color="auto"/>
      </w:pBdr>
      <w:tabs>
        <w:tab w:val="clear" w:pos="583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link w:val="Heading2Char"/>
    <w:qFormat/>
    <w:rsid w:val="00035DE8"/>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35DE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35DE8"/>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035DE8"/>
    <w:pPr>
      <w:numPr>
        <w:ilvl w:val="4"/>
      </w:numPr>
      <w:outlineLvl w:val="4"/>
    </w:pPr>
    <w:rPr>
      <w:sz w:val="22"/>
    </w:rPr>
  </w:style>
  <w:style w:type="paragraph" w:styleId="Heading6">
    <w:name w:val="heading 6"/>
    <w:basedOn w:val="Normal"/>
    <w:next w:val="Normal"/>
    <w:link w:val="Heading6Char"/>
    <w:qFormat/>
    <w:rsid w:val="00035DE8"/>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035DE8"/>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035DE8"/>
    <w:pPr>
      <w:numPr>
        <w:ilvl w:val="7"/>
      </w:numPr>
      <w:outlineLvl w:val="7"/>
    </w:pPr>
  </w:style>
  <w:style w:type="paragraph" w:styleId="Heading9">
    <w:name w:val="heading 9"/>
    <w:basedOn w:val="Heading8"/>
    <w:next w:val="Normal"/>
    <w:link w:val="Heading9Char"/>
    <w:qFormat/>
    <w:rsid w:val="00035D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5D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DE8"/>
    <w:rPr>
      <w:rFonts w:ascii="Tahoma" w:hAnsi="Tahoma" w:cs="Tahoma"/>
      <w:sz w:val="16"/>
      <w:szCs w:val="16"/>
    </w:rPr>
  </w:style>
  <w:style w:type="character" w:customStyle="1" w:styleId="Heading1Char">
    <w:name w:val="Heading 1 Char"/>
    <w:aliases w:val="H1 Char,Memo Heading 1 Char,h1 Char"/>
    <w:basedOn w:val="DefaultParagraphFont"/>
    <w:link w:val="Heading1"/>
    <w:rsid w:val="00035DE8"/>
    <w:rPr>
      <w:rFonts w:ascii="Arial" w:hAnsi="Arial"/>
      <w:sz w:val="36"/>
      <w:lang w:val="en-GB" w:eastAsia="en-US"/>
    </w:rPr>
  </w:style>
  <w:style w:type="character" w:customStyle="1" w:styleId="Heading2Char">
    <w:name w:val="Heading 2 Char"/>
    <w:basedOn w:val="DefaultParagraphFont"/>
    <w:link w:val="Heading2"/>
    <w:rsid w:val="00035DE8"/>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035DE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5DE8"/>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035DE8"/>
    <w:rPr>
      <w:rFonts w:ascii="Arial" w:hAnsi="Arial"/>
      <w:sz w:val="22"/>
      <w:lang w:val="en-GB" w:eastAsia="en-US"/>
    </w:rPr>
  </w:style>
  <w:style w:type="character" w:customStyle="1" w:styleId="Heading6Char">
    <w:name w:val="Heading 6 Char"/>
    <w:basedOn w:val="DefaultParagraphFont"/>
    <w:link w:val="Heading6"/>
    <w:rsid w:val="00035DE8"/>
    <w:rPr>
      <w:rFonts w:ascii="Arial" w:hAnsi="Arial"/>
      <w:lang w:val="en-GB" w:eastAsia="en-US"/>
    </w:rPr>
  </w:style>
  <w:style w:type="character" w:customStyle="1" w:styleId="Heading7Char">
    <w:name w:val="Heading 7 Char"/>
    <w:basedOn w:val="DefaultParagraphFont"/>
    <w:link w:val="Heading7"/>
    <w:rsid w:val="00035DE8"/>
    <w:rPr>
      <w:rFonts w:ascii="Arial" w:hAnsi="Arial"/>
      <w:lang w:val="en-GB" w:eastAsia="en-US"/>
    </w:rPr>
  </w:style>
  <w:style w:type="character" w:customStyle="1" w:styleId="Heading8Char">
    <w:name w:val="Heading 8 Char"/>
    <w:basedOn w:val="DefaultParagraphFont"/>
    <w:link w:val="Heading8"/>
    <w:rsid w:val="00035DE8"/>
    <w:rPr>
      <w:rFonts w:ascii="Arial" w:hAnsi="Arial"/>
      <w:sz w:val="36"/>
      <w:lang w:val="en-GB" w:eastAsia="en-US"/>
    </w:rPr>
  </w:style>
  <w:style w:type="character" w:customStyle="1" w:styleId="Heading9Char">
    <w:name w:val="Heading 9 Char"/>
    <w:basedOn w:val="DefaultParagraphFont"/>
    <w:link w:val="Heading9"/>
    <w:rsid w:val="00035DE8"/>
    <w:rPr>
      <w:rFonts w:ascii="Arial" w:hAnsi="Arial"/>
      <w:sz w:val="36"/>
      <w:lang w:val="en-GB" w:eastAsia="en-US"/>
    </w:rPr>
  </w:style>
  <w:style w:type="paragraph" w:styleId="Header">
    <w:name w:val="header"/>
    <w:aliases w:val="header odd,header odd1,header odd2,header odd3,header odd4,header odd5,header odd6,header"/>
    <w:link w:val="HeaderChar"/>
    <w:rsid w:val="00035DE8"/>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035DE8"/>
    <w:rPr>
      <w:rFonts w:ascii="Arial" w:hAnsi="Arial"/>
      <w:b/>
      <w:noProof/>
      <w:sz w:val="18"/>
      <w:lang w:val="en-GB" w:eastAsia="en-US" w:bidi="ar-SA"/>
    </w:rPr>
  </w:style>
  <w:style w:type="paragraph" w:customStyle="1" w:styleId="TAH">
    <w:name w:val="TAH"/>
    <w:basedOn w:val="TAC"/>
    <w:link w:val="TAHCar"/>
    <w:rsid w:val="00035DE8"/>
  </w:style>
  <w:style w:type="paragraph" w:customStyle="1" w:styleId="TAC">
    <w:name w:val="TAC"/>
    <w:basedOn w:val="TAL"/>
    <w:link w:val="TACChar"/>
    <w:rsid w:val="00035DE8"/>
    <w:pPr>
      <w:jc w:val="center"/>
    </w:pPr>
  </w:style>
  <w:style w:type="paragraph" w:customStyle="1" w:styleId="TH">
    <w:name w:val="TH"/>
    <w:basedOn w:val="Normal"/>
    <w:link w:val="THChar"/>
    <w:rsid w:val="00035DE8"/>
    <w:pPr>
      <w:keepNext/>
      <w:keepLines/>
      <w:spacing w:before="60"/>
      <w:jc w:val="center"/>
    </w:pPr>
    <w:rPr>
      <w:rFonts w:ascii="Arial" w:hAnsi="Arial"/>
      <w:b/>
    </w:rPr>
  </w:style>
  <w:style w:type="paragraph" w:customStyle="1" w:styleId="TAL">
    <w:name w:val="TAL"/>
    <w:basedOn w:val="Normal"/>
    <w:link w:val="TALCar"/>
    <w:rsid w:val="00035DE8"/>
    <w:pPr>
      <w:keepNext/>
      <w:keepLines/>
      <w:spacing w:after="0"/>
    </w:pPr>
    <w:rPr>
      <w:rFonts w:ascii="Arial" w:hAnsi="Arial"/>
      <w:sz w:val="18"/>
    </w:rPr>
  </w:style>
  <w:style w:type="paragraph" w:styleId="BodyText">
    <w:name w:val="Body Text"/>
    <w:aliases w:val="bt"/>
    <w:basedOn w:val="Normal"/>
    <w:link w:val="BodyTextChar"/>
    <w:rsid w:val="00035DE8"/>
    <w:pPr>
      <w:spacing w:after="0"/>
    </w:pPr>
    <w:rPr>
      <w:sz w:val="24"/>
      <w:szCs w:val="24"/>
    </w:rPr>
  </w:style>
  <w:style w:type="character" w:customStyle="1" w:styleId="BodyTextChar">
    <w:name w:val="Body Text Char"/>
    <w:aliases w:val="bt Char"/>
    <w:basedOn w:val="DefaultParagraphFont"/>
    <w:link w:val="BodyText"/>
    <w:rsid w:val="00035DE8"/>
    <w:rPr>
      <w:rFonts w:ascii="Times New Roman" w:eastAsia="SimSun" w:hAnsi="Times New Roman" w:cs="Times New Roman"/>
      <w:sz w:val="24"/>
      <w:szCs w:val="24"/>
      <w:lang w:eastAsia="en-US"/>
    </w:rPr>
  </w:style>
  <w:style w:type="character" w:customStyle="1" w:styleId="TALCar">
    <w:name w:val="TAL Car"/>
    <w:basedOn w:val="DefaultParagraphFont"/>
    <w:link w:val="TAL"/>
    <w:rsid w:val="00035DE8"/>
    <w:rPr>
      <w:rFonts w:ascii="Arial" w:eastAsia="SimSun" w:hAnsi="Arial" w:cs="Times New Roman"/>
      <w:sz w:val="18"/>
      <w:szCs w:val="20"/>
      <w:lang w:eastAsia="en-US"/>
    </w:rPr>
  </w:style>
  <w:style w:type="character" w:customStyle="1" w:styleId="TACChar">
    <w:name w:val="TAC Char"/>
    <w:basedOn w:val="DefaultParagraphFont"/>
    <w:link w:val="TAC"/>
    <w:rsid w:val="00035DE8"/>
    <w:rPr>
      <w:rFonts w:ascii="Arial" w:eastAsia="SimSun" w:hAnsi="Arial" w:cs="Times New Roman"/>
      <w:sz w:val="18"/>
      <w:szCs w:val="20"/>
      <w:lang w:eastAsia="en-US"/>
    </w:rPr>
  </w:style>
  <w:style w:type="character" w:customStyle="1" w:styleId="THChar">
    <w:name w:val="TH Char"/>
    <w:basedOn w:val="DefaultParagraphFont"/>
    <w:link w:val="TH"/>
    <w:rsid w:val="00035DE8"/>
    <w:rPr>
      <w:rFonts w:ascii="Arial" w:eastAsia="SimSun" w:hAnsi="Arial" w:cs="Times New Roman"/>
      <w:b/>
      <w:sz w:val="20"/>
      <w:szCs w:val="20"/>
      <w:lang w:eastAsia="en-US"/>
    </w:rPr>
  </w:style>
  <w:style w:type="paragraph" w:styleId="Caption">
    <w:name w:val="caption"/>
    <w:aliases w:val="cap,cap Char,Caption Char,Caption Char1 Char,cap Char Char1,Caption Char Char1 Char,cap Char2"/>
    <w:basedOn w:val="Normal"/>
    <w:next w:val="Normal"/>
    <w:link w:val="CaptionChar1"/>
    <w:qFormat/>
    <w:rsid w:val="00035DE8"/>
    <w:pPr>
      <w:widowControl w:val="0"/>
      <w:autoSpaceDE w:val="0"/>
      <w:autoSpaceDN w:val="0"/>
      <w:adjustRightInd w:val="0"/>
      <w:spacing w:before="120" w:after="120"/>
      <w:jc w:val="both"/>
    </w:pPr>
    <w:rPr>
      <w:b/>
      <w:bCs/>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035DE8"/>
    <w:rPr>
      <w:rFonts w:ascii="Times New Roman" w:eastAsia="SimSun" w:hAnsi="Times New Roman" w:cs="Times New Roman"/>
      <w:b/>
      <w:bCs/>
      <w:sz w:val="20"/>
      <w:szCs w:val="20"/>
      <w:lang w:eastAsia="en-US"/>
    </w:rPr>
  </w:style>
  <w:style w:type="character" w:customStyle="1" w:styleId="TAHCar">
    <w:name w:val="TAH Car"/>
    <w:basedOn w:val="DefaultParagraphFont"/>
    <w:link w:val="TAH"/>
    <w:rsid w:val="00035DE8"/>
    <w:rPr>
      <w:rFonts w:ascii="Arial" w:eastAsia="SimSun" w:hAnsi="Arial" w:cs="Times New Roman"/>
      <w:sz w:val="18"/>
      <w:szCs w:val="20"/>
      <w:lang w:eastAsia="en-US"/>
    </w:rPr>
  </w:style>
  <w:style w:type="table" w:customStyle="1" w:styleId="LightList-Accent11">
    <w:name w:val="Light List - Accent 11"/>
    <w:basedOn w:val="TableNormal"/>
    <w:uiPriority w:val="61"/>
    <w:rsid w:val="00AC307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AC30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N">
    <w:name w:val="TAN"/>
    <w:basedOn w:val="TAL"/>
    <w:rsid w:val="00526C3B"/>
    <w:pPr>
      <w:ind w:left="851" w:hanging="851"/>
    </w:pPr>
    <w:rPr>
      <w:rFonts w:eastAsia="Times New Roman"/>
      <w:lang w:val="en-GB"/>
    </w:rPr>
  </w:style>
  <w:style w:type="paragraph" w:customStyle="1" w:styleId="B1">
    <w:name w:val="B1"/>
    <w:basedOn w:val="List"/>
    <w:link w:val="B1Zchn"/>
    <w:rsid w:val="002909F8"/>
    <w:pPr>
      <w:ind w:left="568" w:hanging="284"/>
      <w:contextualSpacing w:val="0"/>
    </w:pPr>
    <w:rPr>
      <w:rFonts w:eastAsia="MS Mincho"/>
      <w:lang w:val="en-GB"/>
    </w:rPr>
  </w:style>
  <w:style w:type="paragraph" w:customStyle="1" w:styleId="B2">
    <w:name w:val="B2"/>
    <w:basedOn w:val="List2"/>
    <w:rsid w:val="002909F8"/>
    <w:pPr>
      <w:ind w:left="851" w:hanging="284"/>
      <w:contextualSpacing w:val="0"/>
    </w:pPr>
    <w:rPr>
      <w:rFonts w:eastAsia="MS Mincho"/>
      <w:lang w:val="en-GB"/>
    </w:rPr>
  </w:style>
  <w:style w:type="character" w:customStyle="1" w:styleId="B1Zchn">
    <w:name w:val="B1 Zchn"/>
    <w:link w:val="B1"/>
    <w:rsid w:val="002909F8"/>
    <w:rPr>
      <w:rFonts w:ascii="Times New Roman" w:eastAsia="MS Mincho" w:hAnsi="Times New Roman"/>
      <w:lang w:val="en-GB" w:eastAsia="en-US"/>
    </w:rPr>
  </w:style>
  <w:style w:type="paragraph" w:styleId="List">
    <w:name w:val="List"/>
    <w:basedOn w:val="Normal"/>
    <w:uiPriority w:val="99"/>
    <w:semiHidden/>
    <w:unhideWhenUsed/>
    <w:rsid w:val="002909F8"/>
    <w:pPr>
      <w:ind w:left="360" w:hanging="360"/>
      <w:contextualSpacing/>
    </w:pPr>
  </w:style>
  <w:style w:type="paragraph" w:styleId="List2">
    <w:name w:val="List 2"/>
    <w:basedOn w:val="Normal"/>
    <w:uiPriority w:val="99"/>
    <w:semiHidden/>
    <w:unhideWhenUsed/>
    <w:rsid w:val="002909F8"/>
    <w:pPr>
      <w:ind w:left="720" w:hanging="360"/>
      <w:contextualSpacing/>
    </w:pPr>
  </w:style>
  <w:style w:type="paragraph" w:customStyle="1" w:styleId="Doc-text2">
    <w:name w:val="Doc-text2"/>
    <w:basedOn w:val="Normal"/>
    <w:link w:val="Doc-text2Char"/>
    <w:qFormat/>
    <w:rsid w:val="001F1E02"/>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F1E02"/>
    <w:rPr>
      <w:rFonts w:ascii="Arial" w:eastAsia="MS Mincho" w:hAnsi="Arial"/>
      <w:szCs w:val="24"/>
      <w:lang w:val="en-GB" w:eastAsia="en-GB"/>
    </w:rPr>
  </w:style>
  <w:style w:type="character" w:styleId="Hyperlink">
    <w:name w:val="Hyperlink"/>
    <w:basedOn w:val="DefaultParagraphFont"/>
    <w:uiPriority w:val="99"/>
    <w:unhideWhenUsed/>
    <w:rsid w:val="00CA3379"/>
    <w:rPr>
      <w:color w:val="0000FF"/>
      <w:u w:val="single"/>
    </w:rPr>
  </w:style>
  <w:style w:type="character" w:styleId="FollowedHyperlink">
    <w:name w:val="FollowedHyperlink"/>
    <w:basedOn w:val="DefaultParagraphFont"/>
    <w:uiPriority w:val="99"/>
    <w:semiHidden/>
    <w:unhideWhenUsed/>
    <w:rsid w:val="00CA3379"/>
    <w:rPr>
      <w:color w:val="800080"/>
      <w:u w:val="single"/>
    </w:rPr>
  </w:style>
  <w:style w:type="paragraph" w:styleId="TOC3">
    <w:name w:val="toc 3"/>
    <w:basedOn w:val="Normal"/>
    <w:next w:val="Normal"/>
    <w:autoRedefine/>
    <w:semiHidden/>
    <w:rsid w:val="00D0584F"/>
    <w:pPr>
      <w:numPr>
        <w:numId w:val="3"/>
      </w:numPr>
      <w:spacing w:before="40" w:after="0"/>
    </w:pPr>
    <w:rPr>
      <w:rFonts w:ascii="Arial" w:eastAsia="MS Mincho" w:hAnsi="Arial"/>
      <w:szCs w:val="24"/>
      <w:lang w:val="en-GB" w:eastAsia="en-GB"/>
    </w:rPr>
  </w:style>
  <w:style w:type="paragraph" w:styleId="Footer">
    <w:name w:val="footer"/>
    <w:basedOn w:val="Normal"/>
    <w:link w:val="FooterChar"/>
    <w:uiPriority w:val="99"/>
    <w:unhideWhenUsed/>
    <w:rsid w:val="00365283"/>
    <w:pPr>
      <w:tabs>
        <w:tab w:val="center" w:pos="4680"/>
        <w:tab w:val="right" w:pos="9360"/>
      </w:tabs>
    </w:pPr>
  </w:style>
  <w:style w:type="character" w:customStyle="1" w:styleId="FooterChar">
    <w:name w:val="Footer Char"/>
    <w:basedOn w:val="DefaultParagraphFont"/>
    <w:link w:val="Footer"/>
    <w:uiPriority w:val="99"/>
    <w:rsid w:val="00365283"/>
    <w:rPr>
      <w:rFonts w:ascii="Times New Roman" w:hAnsi="Times New Roman"/>
      <w:lang w:eastAsia="en-US"/>
    </w:rPr>
  </w:style>
  <w:style w:type="paragraph" w:customStyle="1" w:styleId="TF">
    <w:name w:val="TF"/>
    <w:aliases w:val="left"/>
    <w:basedOn w:val="TH"/>
    <w:link w:val="TFChar"/>
    <w:rsid w:val="0046685F"/>
    <w:pPr>
      <w:keepNext w:val="0"/>
      <w:spacing w:before="0" w:after="240"/>
    </w:pPr>
    <w:rPr>
      <w:rFonts w:eastAsia="MS Mincho"/>
      <w:lang w:val="en-GB"/>
    </w:rPr>
  </w:style>
  <w:style w:type="paragraph" w:customStyle="1" w:styleId="NO">
    <w:name w:val="NO"/>
    <w:basedOn w:val="Normal"/>
    <w:rsid w:val="0046685F"/>
    <w:pPr>
      <w:keepLines/>
      <w:ind w:left="1135" w:hanging="851"/>
    </w:pPr>
    <w:rPr>
      <w:rFonts w:eastAsia="MS Mincho"/>
      <w:lang w:val="en-GB"/>
    </w:rPr>
  </w:style>
  <w:style w:type="character" w:customStyle="1" w:styleId="TFChar">
    <w:name w:val="TF Char"/>
    <w:link w:val="TF"/>
    <w:rsid w:val="0046685F"/>
    <w:rPr>
      <w:rFonts w:ascii="Arial" w:eastAsia="MS Mincho" w:hAnsi="Arial"/>
      <w:b/>
      <w:lang w:val="en-GB" w:eastAsia="en-US"/>
    </w:rPr>
  </w:style>
  <w:style w:type="paragraph" w:styleId="NormalWeb">
    <w:name w:val="Normal (Web)"/>
    <w:basedOn w:val="Normal"/>
    <w:uiPriority w:val="99"/>
    <w:semiHidden/>
    <w:unhideWhenUsed/>
    <w:rsid w:val="002E6D5F"/>
    <w:rPr>
      <w:sz w:val="24"/>
      <w:szCs w:val="24"/>
    </w:rPr>
  </w:style>
  <w:style w:type="character" w:styleId="PlaceholderText">
    <w:name w:val="Placeholder Text"/>
    <w:basedOn w:val="DefaultParagraphFont"/>
    <w:uiPriority w:val="99"/>
    <w:semiHidden/>
    <w:rsid w:val="009A0918"/>
    <w:rPr>
      <w:color w:val="808080"/>
    </w:rPr>
  </w:style>
  <w:style w:type="paragraph" w:customStyle="1" w:styleId="CharCharCharCharCharChar">
    <w:name w:val="Char Char Char Char Char Char"/>
    <w:autoRedefine/>
    <w:rsid w:val="00C22ADE"/>
    <w:pPr>
      <w:widowControl w:val="0"/>
      <w:spacing w:line="300" w:lineRule="auto"/>
      <w:ind w:firstLineChars="200" w:firstLine="480"/>
      <w:jc w:val="both"/>
    </w:pPr>
    <w:rPr>
      <w:rFonts w:ascii="Times New Roman" w:eastAsia="FangSong_GB2312" w:hAnsi="Times New Roman"/>
      <w:noProof/>
      <w:kern w:val="2"/>
      <w:sz w:val="24"/>
      <w:szCs w:val="24"/>
    </w:rPr>
  </w:style>
  <w:style w:type="character" w:customStyle="1" w:styleId="TALChar">
    <w:name w:val="TAL Char"/>
    <w:basedOn w:val="DefaultParagraphFont"/>
    <w:locked/>
    <w:rsid w:val="00C22ADE"/>
    <w:rPr>
      <w:rFonts w:ascii="Arial" w:hAnsi="Arial"/>
      <w:sz w:val="18"/>
      <w:lang w:val="en-GB" w:eastAsia="en-US" w:bidi="ar-SA"/>
    </w:rPr>
  </w:style>
  <w:style w:type="character" w:styleId="CommentReference">
    <w:name w:val="annotation reference"/>
    <w:basedOn w:val="DefaultParagraphFont"/>
    <w:uiPriority w:val="99"/>
    <w:semiHidden/>
    <w:unhideWhenUsed/>
    <w:rsid w:val="00EC2A30"/>
    <w:rPr>
      <w:sz w:val="16"/>
      <w:szCs w:val="16"/>
    </w:rPr>
  </w:style>
  <w:style w:type="paragraph" w:styleId="CommentText">
    <w:name w:val="annotation text"/>
    <w:basedOn w:val="Normal"/>
    <w:link w:val="CommentTextChar"/>
    <w:uiPriority w:val="99"/>
    <w:semiHidden/>
    <w:unhideWhenUsed/>
    <w:rsid w:val="00EC2A30"/>
  </w:style>
  <w:style w:type="character" w:customStyle="1" w:styleId="CommentTextChar">
    <w:name w:val="Comment Text Char"/>
    <w:basedOn w:val="DefaultParagraphFont"/>
    <w:link w:val="CommentText"/>
    <w:uiPriority w:val="99"/>
    <w:semiHidden/>
    <w:rsid w:val="00EC2A3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EC2A30"/>
    <w:rPr>
      <w:b/>
      <w:bCs/>
    </w:rPr>
  </w:style>
  <w:style w:type="character" w:customStyle="1" w:styleId="CommentSubjectChar">
    <w:name w:val="Comment Subject Char"/>
    <w:basedOn w:val="CommentTextChar"/>
    <w:link w:val="CommentSubject"/>
    <w:uiPriority w:val="99"/>
    <w:semiHidden/>
    <w:rsid w:val="00EC2A30"/>
    <w:rPr>
      <w:b/>
      <w:bCs/>
    </w:rPr>
  </w:style>
  <w:style w:type="paragraph" w:styleId="ListParagraph">
    <w:name w:val="List Paragraph"/>
    <w:basedOn w:val="Normal"/>
    <w:uiPriority w:val="34"/>
    <w:qFormat/>
    <w:rsid w:val="003F1495"/>
    <w:pPr>
      <w:ind w:left="720"/>
      <w:contextualSpacing/>
    </w:pPr>
  </w:style>
</w:styles>
</file>

<file path=word/webSettings.xml><?xml version="1.0" encoding="utf-8"?>
<w:webSettings xmlns:r="http://schemas.openxmlformats.org/officeDocument/2006/relationships" xmlns:w="http://schemas.openxmlformats.org/wordprocessingml/2006/main">
  <w:divs>
    <w:div w:id="6519299">
      <w:bodyDiv w:val="1"/>
      <w:marLeft w:val="0"/>
      <w:marRight w:val="0"/>
      <w:marTop w:val="0"/>
      <w:marBottom w:val="0"/>
      <w:divBdr>
        <w:top w:val="none" w:sz="0" w:space="0" w:color="auto"/>
        <w:left w:val="none" w:sz="0" w:space="0" w:color="auto"/>
        <w:bottom w:val="none" w:sz="0" w:space="0" w:color="auto"/>
        <w:right w:val="none" w:sz="0" w:space="0" w:color="auto"/>
      </w:divBdr>
      <w:divsChild>
        <w:div w:id="931814733">
          <w:marLeft w:val="1080"/>
          <w:marRight w:val="0"/>
          <w:marTop w:val="0"/>
          <w:marBottom w:val="0"/>
          <w:divBdr>
            <w:top w:val="none" w:sz="0" w:space="0" w:color="auto"/>
            <w:left w:val="none" w:sz="0" w:space="0" w:color="auto"/>
            <w:bottom w:val="none" w:sz="0" w:space="0" w:color="auto"/>
            <w:right w:val="none" w:sz="0" w:space="0" w:color="auto"/>
          </w:divBdr>
        </w:div>
        <w:div w:id="1404059310">
          <w:marLeft w:val="1080"/>
          <w:marRight w:val="0"/>
          <w:marTop w:val="0"/>
          <w:marBottom w:val="0"/>
          <w:divBdr>
            <w:top w:val="none" w:sz="0" w:space="0" w:color="auto"/>
            <w:left w:val="none" w:sz="0" w:space="0" w:color="auto"/>
            <w:bottom w:val="none" w:sz="0" w:space="0" w:color="auto"/>
            <w:right w:val="none" w:sz="0" w:space="0" w:color="auto"/>
          </w:divBdr>
        </w:div>
        <w:div w:id="1924801281">
          <w:marLeft w:val="1080"/>
          <w:marRight w:val="0"/>
          <w:marTop w:val="0"/>
          <w:marBottom w:val="0"/>
          <w:divBdr>
            <w:top w:val="none" w:sz="0" w:space="0" w:color="auto"/>
            <w:left w:val="none" w:sz="0" w:space="0" w:color="auto"/>
            <w:bottom w:val="none" w:sz="0" w:space="0" w:color="auto"/>
            <w:right w:val="none" w:sz="0" w:space="0" w:color="auto"/>
          </w:divBdr>
        </w:div>
        <w:div w:id="2097044972">
          <w:marLeft w:val="720"/>
          <w:marRight w:val="0"/>
          <w:marTop w:val="0"/>
          <w:marBottom w:val="0"/>
          <w:divBdr>
            <w:top w:val="none" w:sz="0" w:space="0" w:color="auto"/>
            <w:left w:val="none" w:sz="0" w:space="0" w:color="auto"/>
            <w:bottom w:val="none" w:sz="0" w:space="0" w:color="auto"/>
            <w:right w:val="none" w:sz="0" w:space="0" w:color="auto"/>
          </w:divBdr>
        </w:div>
      </w:divsChild>
    </w:div>
    <w:div w:id="122044420">
      <w:bodyDiv w:val="1"/>
      <w:marLeft w:val="0"/>
      <w:marRight w:val="0"/>
      <w:marTop w:val="0"/>
      <w:marBottom w:val="0"/>
      <w:divBdr>
        <w:top w:val="none" w:sz="0" w:space="0" w:color="auto"/>
        <w:left w:val="none" w:sz="0" w:space="0" w:color="auto"/>
        <w:bottom w:val="none" w:sz="0" w:space="0" w:color="auto"/>
        <w:right w:val="none" w:sz="0" w:space="0" w:color="auto"/>
      </w:divBdr>
      <w:divsChild>
        <w:div w:id="538131757">
          <w:marLeft w:val="547"/>
          <w:marRight w:val="0"/>
          <w:marTop w:val="120"/>
          <w:marBottom w:val="120"/>
          <w:divBdr>
            <w:top w:val="none" w:sz="0" w:space="0" w:color="auto"/>
            <w:left w:val="none" w:sz="0" w:space="0" w:color="auto"/>
            <w:bottom w:val="none" w:sz="0" w:space="0" w:color="auto"/>
            <w:right w:val="none" w:sz="0" w:space="0" w:color="auto"/>
          </w:divBdr>
        </w:div>
        <w:div w:id="345986040">
          <w:marLeft w:val="1166"/>
          <w:marRight w:val="0"/>
          <w:marTop w:val="120"/>
          <w:marBottom w:val="120"/>
          <w:divBdr>
            <w:top w:val="none" w:sz="0" w:space="0" w:color="auto"/>
            <w:left w:val="none" w:sz="0" w:space="0" w:color="auto"/>
            <w:bottom w:val="none" w:sz="0" w:space="0" w:color="auto"/>
            <w:right w:val="none" w:sz="0" w:space="0" w:color="auto"/>
          </w:divBdr>
        </w:div>
        <w:div w:id="2121877419">
          <w:marLeft w:val="1800"/>
          <w:marRight w:val="0"/>
          <w:marTop w:val="120"/>
          <w:marBottom w:val="120"/>
          <w:divBdr>
            <w:top w:val="none" w:sz="0" w:space="0" w:color="auto"/>
            <w:left w:val="none" w:sz="0" w:space="0" w:color="auto"/>
            <w:bottom w:val="none" w:sz="0" w:space="0" w:color="auto"/>
            <w:right w:val="none" w:sz="0" w:space="0" w:color="auto"/>
          </w:divBdr>
        </w:div>
      </w:divsChild>
    </w:div>
    <w:div w:id="303587315">
      <w:bodyDiv w:val="1"/>
      <w:marLeft w:val="0"/>
      <w:marRight w:val="0"/>
      <w:marTop w:val="0"/>
      <w:marBottom w:val="0"/>
      <w:divBdr>
        <w:top w:val="none" w:sz="0" w:space="0" w:color="auto"/>
        <w:left w:val="none" w:sz="0" w:space="0" w:color="auto"/>
        <w:bottom w:val="none" w:sz="0" w:space="0" w:color="auto"/>
        <w:right w:val="none" w:sz="0" w:space="0" w:color="auto"/>
      </w:divBdr>
      <w:divsChild>
        <w:div w:id="1648628482">
          <w:marLeft w:val="547"/>
          <w:marRight w:val="0"/>
          <w:marTop w:val="120"/>
          <w:marBottom w:val="120"/>
          <w:divBdr>
            <w:top w:val="none" w:sz="0" w:space="0" w:color="auto"/>
            <w:left w:val="none" w:sz="0" w:space="0" w:color="auto"/>
            <w:bottom w:val="none" w:sz="0" w:space="0" w:color="auto"/>
            <w:right w:val="none" w:sz="0" w:space="0" w:color="auto"/>
          </w:divBdr>
        </w:div>
        <w:div w:id="1195919842">
          <w:marLeft w:val="1166"/>
          <w:marRight w:val="0"/>
          <w:marTop w:val="120"/>
          <w:marBottom w:val="120"/>
          <w:divBdr>
            <w:top w:val="none" w:sz="0" w:space="0" w:color="auto"/>
            <w:left w:val="none" w:sz="0" w:space="0" w:color="auto"/>
            <w:bottom w:val="none" w:sz="0" w:space="0" w:color="auto"/>
            <w:right w:val="none" w:sz="0" w:space="0" w:color="auto"/>
          </w:divBdr>
        </w:div>
        <w:div w:id="60833867">
          <w:marLeft w:val="1800"/>
          <w:marRight w:val="0"/>
          <w:marTop w:val="120"/>
          <w:marBottom w:val="120"/>
          <w:divBdr>
            <w:top w:val="none" w:sz="0" w:space="0" w:color="auto"/>
            <w:left w:val="none" w:sz="0" w:space="0" w:color="auto"/>
            <w:bottom w:val="none" w:sz="0" w:space="0" w:color="auto"/>
            <w:right w:val="none" w:sz="0" w:space="0" w:color="auto"/>
          </w:divBdr>
        </w:div>
      </w:divsChild>
    </w:div>
    <w:div w:id="374082129">
      <w:bodyDiv w:val="1"/>
      <w:marLeft w:val="0"/>
      <w:marRight w:val="0"/>
      <w:marTop w:val="0"/>
      <w:marBottom w:val="0"/>
      <w:divBdr>
        <w:top w:val="none" w:sz="0" w:space="0" w:color="auto"/>
        <w:left w:val="none" w:sz="0" w:space="0" w:color="auto"/>
        <w:bottom w:val="none" w:sz="0" w:space="0" w:color="auto"/>
        <w:right w:val="none" w:sz="0" w:space="0" w:color="auto"/>
      </w:divBdr>
    </w:div>
    <w:div w:id="430585738">
      <w:bodyDiv w:val="1"/>
      <w:marLeft w:val="0"/>
      <w:marRight w:val="0"/>
      <w:marTop w:val="0"/>
      <w:marBottom w:val="0"/>
      <w:divBdr>
        <w:top w:val="none" w:sz="0" w:space="0" w:color="auto"/>
        <w:left w:val="none" w:sz="0" w:space="0" w:color="auto"/>
        <w:bottom w:val="none" w:sz="0" w:space="0" w:color="auto"/>
        <w:right w:val="none" w:sz="0" w:space="0" w:color="auto"/>
      </w:divBdr>
      <w:divsChild>
        <w:div w:id="267397753">
          <w:marLeft w:val="0"/>
          <w:marRight w:val="0"/>
          <w:marTop w:val="0"/>
          <w:marBottom w:val="120"/>
          <w:divBdr>
            <w:top w:val="none" w:sz="0" w:space="0" w:color="auto"/>
            <w:left w:val="none" w:sz="0" w:space="0" w:color="auto"/>
            <w:bottom w:val="none" w:sz="0" w:space="0" w:color="auto"/>
            <w:right w:val="none" w:sz="0" w:space="0" w:color="auto"/>
          </w:divBdr>
        </w:div>
        <w:div w:id="536284633">
          <w:marLeft w:val="0"/>
          <w:marRight w:val="0"/>
          <w:marTop w:val="0"/>
          <w:marBottom w:val="120"/>
          <w:divBdr>
            <w:top w:val="none" w:sz="0" w:space="0" w:color="auto"/>
            <w:left w:val="none" w:sz="0" w:space="0" w:color="auto"/>
            <w:bottom w:val="none" w:sz="0" w:space="0" w:color="auto"/>
            <w:right w:val="none" w:sz="0" w:space="0" w:color="auto"/>
          </w:divBdr>
        </w:div>
        <w:div w:id="574314287">
          <w:marLeft w:val="0"/>
          <w:marRight w:val="0"/>
          <w:marTop w:val="0"/>
          <w:marBottom w:val="120"/>
          <w:divBdr>
            <w:top w:val="none" w:sz="0" w:space="0" w:color="auto"/>
            <w:left w:val="none" w:sz="0" w:space="0" w:color="auto"/>
            <w:bottom w:val="none" w:sz="0" w:space="0" w:color="auto"/>
            <w:right w:val="none" w:sz="0" w:space="0" w:color="auto"/>
          </w:divBdr>
        </w:div>
        <w:div w:id="631129387">
          <w:marLeft w:val="634"/>
          <w:marRight w:val="0"/>
          <w:marTop w:val="0"/>
          <w:marBottom w:val="120"/>
          <w:divBdr>
            <w:top w:val="none" w:sz="0" w:space="0" w:color="auto"/>
            <w:left w:val="none" w:sz="0" w:space="0" w:color="auto"/>
            <w:bottom w:val="none" w:sz="0" w:space="0" w:color="auto"/>
            <w:right w:val="none" w:sz="0" w:space="0" w:color="auto"/>
          </w:divBdr>
        </w:div>
        <w:div w:id="826171526">
          <w:marLeft w:val="0"/>
          <w:marRight w:val="0"/>
          <w:marTop w:val="0"/>
          <w:marBottom w:val="120"/>
          <w:divBdr>
            <w:top w:val="none" w:sz="0" w:space="0" w:color="auto"/>
            <w:left w:val="none" w:sz="0" w:space="0" w:color="auto"/>
            <w:bottom w:val="none" w:sz="0" w:space="0" w:color="auto"/>
            <w:right w:val="none" w:sz="0" w:space="0" w:color="auto"/>
          </w:divBdr>
        </w:div>
        <w:div w:id="989871860">
          <w:marLeft w:val="0"/>
          <w:marRight w:val="0"/>
          <w:marTop w:val="0"/>
          <w:marBottom w:val="120"/>
          <w:divBdr>
            <w:top w:val="none" w:sz="0" w:space="0" w:color="auto"/>
            <w:left w:val="none" w:sz="0" w:space="0" w:color="auto"/>
            <w:bottom w:val="none" w:sz="0" w:space="0" w:color="auto"/>
            <w:right w:val="none" w:sz="0" w:space="0" w:color="auto"/>
          </w:divBdr>
        </w:div>
        <w:div w:id="1009528174">
          <w:marLeft w:val="0"/>
          <w:marRight w:val="0"/>
          <w:marTop w:val="0"/>
          <w:marBottom w:val="240"/>
          <w:divBdr>
            <w:top w:val="none" w:sz="0" w:space="0" w:color="auto"/>
            <w:left w:val="none" w:sz="0" w:space="0" w:color="auto"/>
            <w:bottom w:val="none" w:sz="0" w:space="0" w:color="auto"/>
            <w:right w:val="none" w:sz="0" w:space="0" w:color="auto"/>
          </w:divBdr>
        </w:div>
        <w:div w:id="1702783533">
          <w:marLeft w:val="0"/>
          <w:marRight w:val="0"/>
          <w:marTop w:val="0"/>
          <w:marBottom w:val="120"/>
          <w:divBdr>
            <w:top w:val="none" w:sz="0" w:space="0" w:color="auto"/>
            <w:left w:val="none" w:sz="0" w:space="0" w:color="auto"/>
            <w:bottom w:val="none" w:sz="0" w:space="0" w:color="auto"/>
            <w:right w:val="none" w:sz="0" w:space="0" w:color="auto"/>
          </w:divBdr>
        </w:div>
        <w:div w:id="1935552372">
          <w:marLeft w:val="0"/>
          <w:marRight w:val="0"/>
          <w:marTop w:val="0"/>
          <w:marBottom w:val="240"/>
          <w:divBdr>
            <w:top w:val="none" w:sz="0" w:space="0" w:color="auto"/>
            <w:left w:val="none" w:sz="0" w:space="0" w:color="auto"/>
            <w:bottom w:val="none" w:sz="0" w:space="0" w:color="auto"/>
            <w:right w:val="none" w:sz="0" w:space="0" w:color="auto"/>
          </w:divBdr>
        </w:div>
        <w:div w:id="1999264335">
          <w:marLeft w:val="634"/>
          <w:marRight w:val="0"/>
          <w:marTop w:val="0"/>
          <w:marBottom w:val="120"/>
          <w:divBdr>
            <w:top w:val="none" w:sz="0" w:space="0" w:color="auto"/>
            <w:left w:val="none" w:sz="0" w:space="0" w:color="auto"/>
            <w:bottom w:val="none" w:sz="0" w:space="0" w:color="auto"/>
            <w:right w:val="none" w:sz="0" w:space="0" w:color="auto"/>
          </w:divBdr>
        </w:div>
      </w:divsChild>
    </w:div>
    <w:div w:id="434599046">
      <w:bodyDiv w:val="1"/>
      <w:marLeft w:val="0"/>
      <w:marRight w:val="0"/>
      <w:marTop w:val="0"/>
      <w:marBottom w:val="0"/>
      <w:divBdr>
        <w:top w:val="none" w:sz="0" w:space="0" w:color="auto"/>
        <w:left w:val="none" w:sz="0" w:space="0" w:color="auto"/>
        <w:bottom w:val="none" w:sz="0" w:space="0" w:color="auto"/>
        <w:right w:val="none" w:sz="0" w:space="0" w:color="auto"/>
      </w:divBdr>
    </w:div>
    <w:div w:id="523516687">
      <w:bodyDiv w:val="1"/>
      <w:marLeft w:val="0"/>
      <w:marRight w:val="0"/>
      <w:marTop w:val="0"/>
      <w:marBottom w:val="0"/>
      <w:divBdr>
        <w:top w:val="none" w:sz="0" w:space="0" w:color="auto"/>
        <w:left w:val="none" w:sz="0" w:space="0" w:color="auto"/>
        <w:bottom w:val="none" w:sz="0" w:space="0" w:color="auto"/>
        <w:right w:val="none" w:sz="0" w:space="0" w:color="auto"/>
      </w:divBdr>
      <w:divsChild>
        <w:div w:id="68381561">
          <w:marLeft w:val="259"/>
          <w:marRight w:val="0"/>
          <w:marTop w:val="0"/>
          <w:marBottom w:val="240"/>
          <w:divBdr>
            <w:top w:val="none" w:sz="0" w:space="0" w:color="auto"/>
            <w:left w:val="none" w:sz="0" w:space="0" w:color="auto"/>
            <w:bottom w:val="none" w:sz="0" w:space="0" w:color="auto"/>
            <w:right w:val="none" w:sz="0" w:space="0" w:color="auto"/>
          </w:divBdr>
        </w:div>
        <w:div w:id="104467298">
          <w:marLeft w:val="259"/>
          <w:marRight w:val="0"/>
          <w:marTop w:val="0"/>
          <w:marBottom w:val="240"/>
          <w:divBdr>
            <w:top w:val="none" w:sz="0" w:space="0" w:color="auto"/>
            <w:left w:val="none" w:sz="0" w:space="0" w:color="auto"/>
            <w:bottom w:val="none" w:sz="0" w:space="0" w:color="auto"/>
            <w:right w:val="none" w:sz="0" w:space="0" w:color="auto"/>
          </w:divBdr>
        </w:div>
        <w:div w:id="809060586">
          <w:marLeft w:val="259"/>
          <w:marRight w:val="0"/>
          <w:marTop w:val="0"/>
          <w:marBottom w:val="240"/>
          <w:divBdr>
            <w:top w:val="none" w:sz="0" w:space="0" w:color="auto"/>
            <w:left w:val="none" w:sz="0" w:space="0" w:color="auto"/>
            <w:bottom w:val="none" w:sz="0" w:space="0" w:color="auto"/>
            <w:right w:val="none" w:sz="0" w:space="0" w:color="auto"/>
          </w:divBdr>
        </w:div>
        <w:div w:id="1356007420">
          <w:marLeft w:val="259"/>
          <w:marRight w:val="0"/>
          <w:marTop w:val="0"/>
          <w:marBottom w:val="240"/>
          <w:divBdr>
            <w:top w:val="none" w:sz="0" w:space="0" w:color="auto"/>
            <w:left w:val="none" w:sz="0" w:space="0" w:color="auto"/>
            <w:bottom w:val="none" w:sz="0" w:space="0" w:color="auto"/>
            <w:right w:val="none" w:sz="0" w:space="0" w:color="auto"/>
          </w:divBdr>
        </w:div>
        <w:div w:id="1810128396">
          <w:marLeft w:val="259"/>
          <w:marRight w:val="0"/>
          <w:marTop w:val="0"/>
          <w:marBottom w:val="240"/>
          <w:divBdr>
            <w:top w:val="none" w:sz="0" w:space="0" w:color="auto"/>
            <w:left w:val="none" w:sz="0" w:space="0" w:color="auto"/>
            <w:bottom w:val="none" w:sz="0" w:space="0" w:color="auto"/>
            <w:right w:val="none" w:sz="0" w:space="0" w:color="auto"/>
          </w:divBdr>
        </w:div>
      </w:divsChild>
    </w:div>
    <w:div w:id="597103647">
      <w:bodyDiv w:val="1"/>
      <w:marLeft w:val="0"/>
      <w:marRight w:val="0"/>
      <w:marTop w:val="0"/>
      <w:marBottom w:val="0"/>
      <w:divBdr>
        <w:top w:val="none" w:sz="0" w:space="0" w:color="auto"/>
        <w:left w:val="none" w:sz="0" w:space="0" w:color="auto"/>
        <w:bottom w:val="none" w:sz="0" w:space="0" w:color="auto"/>
        <w:right w:val="none" w:sz="0" w:space="0" w:color="auto"/>
      </w:divBdr>
    </w:div>
    <w:div w:id="639455073">
      <w:bodyDiv w:val="1"/>
      <w:marLeft w:val="0"/>
      <w:marRight w:val="0"/>
      <w:marTop w:val="0"/>
      <w:marBottom w:val="0"/>
      <w:divBdr>
        <w:top w:val="none" w:sz="0" w:space="0" w:color="auto"/>
        <w:left w:val="none" w:sz="0" w:space="0" w:color="auto"/>
        <w:bottom w:val="none" w:sz="0" w:space="0" w:color="auto"/>
        <w:right w:val="none" w:sz="0" w:space="0" w:color="auto"/>
      </w:divBdr>
      <w:divsChild>
        <w:div w:id="503473385">
          <w:marLeft w:val="259"/>
          <w:marRight w:val="0"/>
          <w:marTop w:val="0"/>
          <w:marBottom w:val="120"/>
          <w:divBdr>
            <w:top w:val="none" w:sz="0" w:space="0" w:color="auto"/>
            <w:left w:val="none" w:sz="0" w:space="0" w:color="auto"/>
            <w:bottom w:val="none" w:sz="0" w:space="0" w:color="auto"/>
            <w:right w:val="none" w:sz="0" w:space="0" w:color="auto"/>
          </w:divBdr>
        </w:div>
        <w:div w:id="554121154">
          <w:marLeft w:val="259"/>
          <w:marRight w:val="0"/>
          <w:marTop w:val="0"/>
          <w:marBottom w:val="120"/>
          <w:divBdr>
            <w:top w:val="none" w:sz="0" w:space="0" w:color="auto"/>
            <w:left w:val="none" w:sz="0" w:space="0" w:color="auto"/>
            <w:bottom w:val="none" w:sz="0" w:space="0" w:color="auto"/>
            <w:right w:val="none" w:sz="0" w:space="0" w:color="auto"/>
          </w:divBdr>
        </w:div>
        <w:div w:id="711348499">
          <w:marLeft w:val="259"/>
          <w:marRight w:val="0"/>
          <w:marTop w:val="0"/>
          <w:marBottom w:val="120"/>
          <w:divBdr>
            <w:top w:val="none" w:sz="0" w:space="0" w:color="auto"/>
            <w:left w:val="none" w:sz="0" w:space="0" w:color="auto"/>
            <w:bottom w:val="none" w:sz="0" w:space="0" w:color="auto"/>
            <w:right w:val="none" w:sz="0" w:space="0" w:color="auto"/>
          </w:divBdr>
        </w:div>
        <w:div w:id="1490708745">
          <w:marLeft w:val="259"/>
          <w:marRight w:val="0"/>
          <w:marTop w:val="0"/>
          <w:marBottom w:val="120"/>
          <w:divBdr>
            <w:top w:val="none" w:sz="0" w:space="0" w:color="auto"/>
            <w:left w:val="none" w:sz="0" w:space="0" w:color="auto"/>
            <w:bottom w:val="none" w:sz="0" w:space="0" w:color="auto"/>
            <w:right w:val="none" w:sz="0" w:space="0" w:color="auto"/>
          </w:divBdr>
        </w:div>
        <w:div w:id="1739742549">
          <w:marLeft w:val="259"/>
          <w:marRight w:val="0"/>
          <w:marTop w:val="0"/>
          <w:marBottom w:val="120"/>
          <w:divBdr>
            <w:top w:val="none" w:sz="0" w:space="0" w:color="auto"/>
            <w:left w:val="none" w:sz="0" w:space="0" w:color="auto"/>
            <w:bottom w:val="none" w:sz="0" w:space="0" w:color="auto"/>
            <w:right w:val="none" w:sz="0" w:space="0" w:color="auto"/>
          </w:divBdr>
        </w:div>
        <w:div w:id="1860313499">
          <w:marLeft w:val="259"/>
          <w:marRight w:val="0"/>
          <w:marTop w:val="0"/>
          <w:marBottom w:val="120"/>
          <w:divBdr>
            <w:top w:val="none" w:sz="0" w:space="0" w:color="auto"/>
            <w:left w:val="none" w:sz="0" w:space="0" w:color="auto"/>
            <w:bottom w:val="none" w:sz="0" w:space="0" w:color="auto"/>
            <w:right w:val="none" w:sz="0" w:space="0" w:color="auto"/>
          </w:divBdr>
        </w:div>
      </w:divsChild>
    </w:div>
    <w:div w:id="648636838">
      <w:bodyDiv w:val="1"/>
      <w:marLeft w:val="0"/>
      <w:marRight w:val="0"/>
      <w:marTop w:val="0"/>
      <w:marBottom w:val="0"/>
      <w:divBdr>
        <w:top w:val="none" w:sz="0" w:space="0" w:color="auto"/>
        <w:left w:val="none" w:sz="0" w:space="0" w:color="auto"/>
        <w:bottom w:val="none" w:sz="0" w:space="0" w:color="auto"/>
        <w:right w:val="none" w:sz="0" w:space="0" w:color="auto"/>
      </w:divBdr>
    </w:div>
    <w:div w:id="683435338">
      <w:bodyDiv w:val="1"/>
      <w:marLeft w:val="0"/>
      <w:marRight w:val="0"/>
      <w:marTop w:val="0"/>
      <w:marBottom w:val="0"/>
      <w:divBdr>
        <w:top w:val="none" w:sz="0" w:space="0" w:color="auto"/>
        <w:left w:val="none" w:sz="0" w:space="0" w:color="auto"/>
        <w:bottom w:val="none" w:sz="0" w:space="0" w:color="auto"/>
        <w:right w:val="none" w:sz="0" w:space="0" w:color="auto"/>
      </w:divBdr>
    </w:div>
    <w:div w:id="690036678">
      <w:bodyDiv w:val="1"/>
      <w:marLeft w:val="0"/>
      <w:marRight w:val="0"/>
      <w:marTop w:val="0"/>
      <w:marBottom w:val="0"/>
      <w:divBdr>
        <w:top w:val="none" w:sz="0" w:space="0" w:color="auto"/>
        <w:left w:val="none" w:sz="0" w:space="0" w:color="auto"/>
        <w:bottom w:val="none" w:sz="0" w:space="0" w:color="auto"/>
        <w:right w:val="none" w:sz="0" w:space="0" w:color="auto"/>
      </w:divBdr>
      <w:divsChild>
        <w:div w:id="1529105303">
          <w:marLeft w:val="547"/>
          <w:marRight w:val="0"/>
          <w:marTop w:val="120"/>
          <w:marBottom w:val="120"/>
          <w:divBdr>
            <w:top w:val="none" w:sz="0" w:space="0" w:color="auto"/>
            <w:left w:val="none" w:sz="0" w:space="0" w:color="auto"/>
            <w:bottom w:val="none" w:sz="0" w:space="0" w:color="auto"/>
            <w:right w:val="none" w:sz="0" w:space="0" w:color="auto"/>
          </w:divBdr>
        </w:div>
        <w:div w:id="1931886401">
          <w:marLeft w:val="1166"/>
          <w:marRight w:val="0"/>
          <w:marTop w:val="120"/>
          <w:marBottom w:val="120"/>
          <w:divBdr>
            <w:top w:val="none" w:sz="0" w:space="0" w:color="auto"/>
            <w:left w:val="none" w:sz="0" w:space="0" w:color="auto"/>
            <w:bottom w:val="none" w:sz="0" w:space="0" w:color="auto"/>
            <w:right w:val="none" w:sz="0" w:space="0" w:color="auto"/>
          </w:divBdr>
        </w:div>
        <w:div w:id="831724274">
          <w:marLeft w:val="1800"/>
          <w:marRight w:val="0"/>
          <w:marTop w:val="120"/>
          <w:marBottom w:val="120"/>
          <w:divBdr>
            <w:top w:val="none" w:sz="0" w:space="0" w:color="auto"/>
            <w:left w:val="none" w:sz="0" w:space="0" w:color="auto"/>
            <w:bottom w:val="none" w:sz="0" w:space="0" w:color="auto"/>
            <w:right w:val="none" w:sz="0" w:space="0" w:color="auto"/>
          </w:divBdr>
        </w:div>
        <w:div w:id="1295256582">
          <w:marLeft w:val="2520"/>
          <w:marRight w:val="0"/>
          <w:marTop w:val="120"/>
          <w:marBottom w:val="120"/>
          <w:divBdr>
            <w:top w:val="none" w:sz="0" w:space="0" w:color="auto"/>
            <w:left w:val="none" w:sz="0" w:space="0" w:color="auto"/>
            <w:bottom w:val="none" w:sz="0" w:space="0" w:color="auto"/>
            <w:right w:val="none" w:sz="0" w:space="0" w:color="auto"/>
          </w:divBdr>
        </w:div>
        <w:div w:id="1221791617">
          <w:marLeft w:val="2520"/>
          <w:marRight w:val="0"/>
          <w:marTop w:val="120"/>
          <w:marBottom w:val="120"/>
          <w:divBdr>
            <w:top w:val="none" w:sz="0" w:space="0" w:color="auto"/>
            <w:left w:val="none" w:sz="0" w:space="0" w:color="auto"/>
            <w:bottom w:val="none" w:sz="0" w:space="0" w:color="auto"/>
            <w:right w:val="none" w:sz="0" w:space="0" w:color="auto"/>
          </w:divBdr>
        </w:div>
        <w:div w:id="1435397037">
          <w:marLeft w:val="3240"/>
          <w:marRight w:val="0"/>
          <w:marTop w:val="120"/>
          <w:marBottom w:val="120"/>
          <w:divBdr>
            <w:top w:val="none" w:sz="0" w:space="0" w:color="auto"/>
            <w:left w:val="none" w:sz="0" w:space="0" w:color="auto"/>
            <w:bottom w:val="none" w:sz="0" w:space="0" w:color="auto"/>
            <w:right w:val="none" w:sz="0" w:space="0" w:color="auto"/>
          </w:divBdr>
        </w:div>
        <w:div w:id="1704089373">
          <w:marLeft w:val="1800"/>
          <w:marRight w:val="0"/>
          <w:marTop w:val="120"/>
          <w:marBottom w:val="120"/>
          <w:divBdr>
            <w:top w:val="none" w:sz="0" w:space="0" w:color="auto"/>
            <w:left w:val="none" w:sz="0" w:space="0" w:color="auto"/>
            <w:bottom w:val="none" w:sz="0" w:space="0" w:color="auto"/>
            <w:right w:val="none" w:sz="0" w:space="0" w:color="auto"/>
          </w:divBdr>
        </w:div>
        <w:div w:id="605622317">
          <w:marLeft w:val="2520"/>
          <w:marRight w:val="0"/>
          <w:marTop w:val="67"/>
          <w:marBottom w:val="0"/>
          <w:divBdr>
            <w:top w:val="none" w:sz="0" w:space="0" w:color="auto"/>
            <w:left w:val="none" w:sz="0" w:space="0" w:color="auto"/>
            <w:bottom w:val="none" w:sz="0" w:space="0" w:color="auto"/>
            <w:right w:val="none" w:sz="0" w:space="0" w:color="auto"/>
          </w:divBdr>
        </w:div>
        <w:div w:id="147595243">
          <w:marLeft w:val="2520"/>
          <w:marRight w:val="0"/>
          <w:marTop w:val="67"/>
          <w:marBottom w:val="0"/>
          <w:divBdr>
            <w:top w:val="none" w:sz="0" w:space="0" w:color="auto"/>
            <w:left w:val="none" w:sz="0" w:space="0" w:color="auto"/>
            <w:bottom w:val="none" w:sz="0" w:space="0" w:color="auto"/>
            <w:right w:val="none" w:sz="0" w:space="0" w:color="auto"/>
          </w:divBdr>
        </w:div>
        <w:div w:id="462817477">
          <w:marLeft w:val="3240"/>
          <w:marRight w:val="0"/>
          <w:marTop w:val="67"/>
          <w:marBottom w:val="0"/>
          <w:divBdr>
            <w:top w:val="none" w:sz="0" w:space="0" w:color="auto"/>
            <w:left w:val="none" w:sz="0" w:space="0" w:color="auto"/>
            <w:bottom w:val="none" w:sz="0" w:space="0" w:color="auto"/>
            <w:right w:val="none" w:sz="0" w:space="0" w:color="auto"/>
          </w:divBdr>
        </w:div>
        <w:div w:id="136457917">
          <w:marLeft w:val="1800"/>
          <w:marRight w:val="0"/>
          <w:marTop w:val="120"/>
          <w:marBottom w:val="120"/>
          <w:divBdr>
            <w:top w:val="none" w:sz="0" w:space="0" w:color="auto"/>
            <w:left w:val="none" w:sz="0" w:space="0" w:color="auto"/>
            <w:bottom w:val="none" w:sz="0" w:space="0" w:color="auto"/>
            <w:right w:val="none" w:sz="0" w:space="0" w:color="auto"/>
          </w:divBdr>
        </w:div>
      </w:divsChild>
    </w:div>
    <w:div w:id="865482203">
      <w:bodyDiv w:val="1"/>
      <w:marLeft w:val="0"/>
      <w:marRight w:val="0"/>
      <w:marTop w:val="0"/>
      <w:marBottom w:val="0"/>
      <w:divBdr>
        <w:top w:val="none" w:sz="0" w:space="0" w:color="auto"/>
        <w:left w:val="none" w:sz="0" w:space="0" w:color="auto"/>
        <w:bottom w:val="none" w:sz="0" w:space="0" w:color="auto"/>
        <w:right w:val="none" w:sz="0" w:space="0" w:color="auto"/>
      </w:divBdr>
      <w:divsChild>
        <w:div w:id="403532206">
          <w:marLeft w:val="259"/>
          <w:marRight w:val="0"/>
          <w:marTop w:val="0"/>
          <w:marBottom w:val="240"/>
          <w:divBdr>
            <w:top w:val="none" w:sz="0" w:space="0" w:color="auto"/>
            <w:left w:val="none" w:sz="0" w:space="0" w:color="auto"/>
            <w:bottom w:val="none" w:sz="0" w:space="0" w:color="auto"/>
            <w:right w:val="none" w:sz="0" w:space="0" w:color="auto"/>
          </w:divBdr>
        </w:div>
        <w:div w:id="973604026">
          <w:marLeft w:val="259"/>
          <w:marRight w:val="0"/>
          <w:marTop w:val="0"/>
          <w:marBottom w:val="240"/>
          <w:divBdr>
            <w:top w:val="none" w:sz="0" w:space="0" w:color="auto"/>
            <w:left w:val="none" w:sz="0" w:space="0" w:color="auto"/>
            <w:bottom w:val="none" w:sz="0" w:space="0" w:color="auto"/>
            <w:right w:val="none" w:sz="0" w:space="0" w:color="auto"/>
          </w:divBdr>
        </w:div>
        <w:div w:id="1022242195">
          <w:marLeft w:val="259"/>
          <w:marRight w:val="0"/>
          <w:marTop w:val="0"/>
          <w:marBottom w:val="240"/>
          <w:divBdr>
            <w:top w:val="none" w:sz="0" w:space="0" w:color="auto"/>
            <w:left w:val="none" w:sz="0" w:space="0" w:color="auto"/>
            <w:bottom w:val="none" w:sz="0" w:space="0" w:color="auto"/>
            <w:right w:val="none" w:sz="0" w:space="0" w:color="auto"/>
          </w:divBdr>
        </w:div>
        <w:div w:id="1372992707">
          <w:marLeft w:val="648"/>
          <w:marRight w:val="0"/>
          <w:marTop w:val="0"/>
          <w:marBottom w:val="240"/>
          <w:divBdr>
            <w:top w:val="none" w:sz="0" w:space="0" w:color="auto"/>
            <w:left w:val="none" w:sz="0" w:space="0" w:color="auto"/>
            <w:bottom w:val="none" w:sz="0" w:space="0" w:color="auto"/>
            <w:right w:val="none" w:sz="0" w:space="0" w:color="auto"/>
          </w:divBdr>
        </w:div>
        <w:div w:id="1679843465">
          <w:marLeft w:val="648"/>
          <w:marRight w:val="0"/>
          <w:marTop w:val="0"/>
          <w:marBottom w:val="240"/>
          <w:divBdr>
            <w:top w:val="none" w:sz="0" w:space="0" w:color="auto"/>
            <w:left w:val="none" w:sz="0" w:space="0" w:color="auto"/>
            <w:bottom w:val="none" w:sz="0" w:space="0" w:color="auto"/>
            <w:right w:val="none" w:sz="0" w:space="0" w:color="auto"/>
          </w:divBdr>
        </w:div>
        <w:div w:id="1716544063">
          <w:marLeft w:val="259"/>
          <w:marRight w:val="0"/>
          <w:marTop w:val="0"/>
          <w:marBottom w:val="240"/>
          <w:divBdr>
            <w:top w:val="none" w:sz="0" w:space="0" w:color="auto"/>
            <w:left w:val="none" w:sz="0" w:space="0" w:color="auto"/>
            <w:bottom w:val="none" w:sz="0" w:space="0" w:color="auto"/>
            <w:right w:val="none" w:sz="0" w:space="0" w:color="auto"/>
          </w:divBdr>
        </w:div>
      </w:divsChild>
    </w:div>
    <w:div w:id="973827140">
      <w:bodyDiv w:val="1"/>
      <w:marLeft w:val="0"/>
      <w:marRight w:val="0"/>
      <w:marTop w:val="0"/>
      <w:marBottom w:val="0"/>
      <w:divBdr>
        <w:top w:val="none" w:sz="0" w:space="0" w:color="auto"/>
        <w:left w:val="none" w:sz="0" w:space="0" w:color="auto"/>
        <w:bottom w:val="none" w:sz="0" w:space="0" w:color="auto"/>
        <w:right w:val="none" w:sz="0" w:space="0" w:color="auto"/>
      </w:divBdr>
    </w:div>
    <w:div w:id="1137529676">
      <w:bodyDiv w:val="1"/>
      <w:marLeft w:val="0"/>
      <w:marRight w:val="0"/>
      <w:marTop w:val="0"/>
      <w:marBottom w:val="0"/>
      <w:divBdr>
        <w:top w:val="none" w:sz="0" w:space="0" w:color="auto"/>
        <w:left w:val="none" w:sz="0" w:space="0" w:color="auto"/>
        <w:bottom w:val="none" w:sz="0" w:space="0" w:color="auto"/>
        <w:right w:val="none" w:sz="0" w:space="0" w:color="auto"/>
      </w:divBdr>
    </w:div>
    <w:div w:id="1224292569">
      <w:bodyDiv w:val="1"/>
      <w:marLeft w:val="0"/>
      <w:marRight w:val="0"/>
      <w:marTop w:val="0"/>
      <w:marBottom w:val="0"/>
      <w:divBdr>
        <w:top w:val="none" w:sz="0" w:space="0" w:color="auto"/>
        <w:left w:val="none" w:sz="0" w:space="0" w:color="auto"/>
        <w:bottom w:val="none" w:sz="0" w:space="0" w:color="auto"/>
        <w:right w:val="none" w:sz="0" w:space="0" w:color="auto"/>
      </w:divBdr>
    </w:div>
    <w:div w:id="1305887229">
      <w:bodyDiv w:val="1"/>
      <w:marLeft w:val="0"/>
      <w:marRight w:val="0"/>
      <w:marTop w:val="0"/>
      <w:marBottom w:val="0"/>
      <w:divBdr>
        <w:top w:val="none" w:sz="0" w:space="0" w:color="auto"/>
        <w:left w:val="none" w:sz="0" w:space="0" w:color="auto"/>
        <w:bottom w:val="none" w:sz="0" w:space="0" w:color="auto"/>
        <w:right w:val="none" w:sz="0" w:space="0" w:color="auto"/>
      </w:divBdr>
      <w:divsChild>
        <w:div w:id="1560435326">
          <w:marLeft w:val="547"/>
          <w:marRight w:val="0"/>
          <w:marTop w:val="120"/>
          <w:marBottom w:val="120"/>
          <w:divBdr>
            <w:top w:val="none" w:sz="0" w:space="0" w:color="auto"/>
            <w:left w:val="none" w:sz="0" w:space="0" w:color="auto"/>
            <w:bottom w:val="none" w:sz="0" w:space="0" w:color="auto"/>
            <w:right w:val="none" w:sz="0" w:space="0" w:color="auto"/>
          </w:divBdr>
        </w:div>
        <w:div w:id="644164580">
          <w:marLeft w:val="1166"/>
          <w:marRight w:val="0"/>
          <w:marTop w:val="120"/>
          <w:marBottom w:val="120"/>
          <w:divBdr>
            <w:top w:val="none" w:sz="0" w:space="0" w:color="auto"/>
            <w:left w:val="none" w:sz="0" w:space="0" w:color="auto"/>
            <w:bottom w:val="none" w:sz="0" w:space="0" w:color="auto"/>
            <w:right w:val="none" w:sz="0" w:space="0" w:color="auto"/>
          </w:divBdr>
        </w:div>
        <w:div w:id="1846439319">
          <w:marLeft w:val="1800"/>
          <w:marRight w:val="0"/>
          <w:marTop w:val="120"/>
          <w:marBottom w:val="120"/>
          <w:divBdr>
            <w:top w:val="none" w:sz="0" w:space="0" w:color="auto"/>
            <w:left w:val="none" w:sz="0" w:space="0" w:color="auto"/>
            <w:bottom w:val="none" w:sz="0" w:space="0" w:color="auto"/>
            <w:right w:val="none" w:sz="0" w:space="0" w:color="auto"/>
          </w:divBdr>
        </w:div>
        <w:div w:id="1643339930">
          <w:marLeft w:val="2520"/>
          <w:marRight w:val="0"/>
          <w:marTop w:val="120"/>
          <w:marBottom w:val="120"/>
          <w:divBdr>
            <w:top w:val="none" w:sz="0" w:space="0" w:color="auto"/>
            <w:left w:val="none" w:sz="0" w:space="0" w:color="auto"/>
            <w:bottom w:val="none" w:sz="0" w:space="0" w:color="auto"/>
            <w:right w:val="none" w:sz="0" w:space="0" w:color="auto"/>
          </w:divBdr>
        </w:div>
        <w:div w:id="189030529">
          <w:marLeft w:val="2520"/>
          <w:marRight w:val="0"/>
          <w:marTop w:val="120"/>
          <w:marBottom w:val="120"/>
          <w:divBdr>
            <w:top w:val="none" w:sz="0" w:space="0" w:color="auto"/>
            <w:left w:val="none" w:sz="0" w:space="0" w:color="auto"/>
            <w:bottom w:val="none" w:sz="0" w:space="0" w:color="auto"/>
            <w:right w:val="none" w:sz="0" w:space="0" w:color="auto"/>
          </w:divBdr>
        </w:div>
        <w:div w:id="1234395941">
          <w:marLeft w:val="3240"/>
          <w:marRight w:val="0"/>
          <w:marTop w:val="120"/>
          <w:marBottom w:val="120"/>
          <w:divBdr>
            <w:top w:val="none" w:sz="0" w:space="0" w:color="auto"/>
            <w:left w:val="none" w:sz="0" w:space="0" w:color="auto"/>
            <w:bottom w:val="none" w:sz="0" w:space="0" w:color="auto"/>
            <w:right w:val="none" w:sz="0" w:space="0" w:color="auto"/>
          </w:divBdr>
        </w:div>
        <w:div w:id="393550184">
          <w:marLeft w:val="1800"/>
          <w:marRight w:val="0"/>
          <w:marTop w:val="120"/>
          <w:marBottom w:val="120"/>
          <w:divBdr>
            <w:top w:val="none" w:sz="0" w:space="0" w:color="auto"/>
            <w:left w:val="none" w:sz="0" w:space="0" w:color="auto"/>
            <w:bottom w:val="none" w:sz="0" w:space="0" w:color="auto"/>
            <w:right w:val="none" w:sz="0" w:space="0" w:color="auto"/>
          </w:divBdr>
        </w:div>
        <w:div w:id="812866866">
          <w:marLeft w:val="2520"/>
          <w:marRight w:val="0"/>
          <w:marTop w:val="67"/>
          <w:marBottom w:val="0"/>
          <w:divBdr>
            <w:top w:val="none" w:sz="0" w:space="0" w:color="auto"/>
            <w:left w:val="none" w:sz="0" w:space="0" w:color="auto"/>
            <w:bottom w:val="none" w:sz="0" w:space="0" w:color="auto"/>
            <w:right w:val="none" w:sz="0" w:space="0" w:color="auto"/>
          </w:divBdr>
        </w:div>
        <w:div w:id="1538274423">
          <w:marLeft w:val="2520"/>
          <w:marRight w:val="0"/>
          <w:marTop w:val="67"/>
          <w:marBottom w:val="0"/>
          <w:divBdr>
            <w:top w:val="none" w:sz="0" w:space="0" w:color="auto"/>
            <w:left w:val="none" w:sz="0" w:space="0" w:color="auto"/>
            <w:bottom w:val="none" w:sz="0" w:space="0" w:color="auto"/>
            <w:right w:val="none" w:sz="0" w:space="0" w:color="auto"/>
          </w:divBdr>
        </w:div>
        <w:div w:id="1230573214">
          <w:marLeft w:val="3240"/>
          <w:marRight w:val="0"/>
          <w:marTop w:val="67"/>
          <w:marBottom w:val="0"/>
          <w:divBdr>
            <w:top w:val="none" w:sz="0" w:space="0" w:color="auto"/>
            <w:left w:val="none" w:sz="0" w:space="0" w:color="auto"/>
            <w:bottom w:val="none" w:sz="0" w:space="0" w:color="auto"/>
            <w:right w:val="none" w:sz="0" w:space="0" w:color="auto"/>
          </w:divBdr>
        </w:div>
        <w:div w:id="1075200033">
          <w:marLeft w:val="1800"/>
          <w:marRight w:val="0"/>
          <w:marTop w:val="120"/>
          <w:marBottom w:val="120"/>
          <w:divBdr>
            <w:top w:val="none" w:sz="0" w:space="0" w:color="auto"/>
            <w:left w:val="none" w:sz="0" w:space="0" w:color="auto"/>
            <w:bottom w:val="none" w:sz="0" w:space="0" w:color="auto"/>
            <w:right w:val="none" w:sz="0" w:space="0" w:color="auto"/>
          </w:divBdr>
        </w:div>
      </w:divsChild>
    </w:div>
    <w:div w:id="1353068649">
      <w:bodyDiv w:val="1"/>
      <w:marLeft w:val="0"/>
      <w:marRight w:val="0"/>
      <w:marTop w:val="0"/>
      <w:marBottom w:val="0"/>
      <w:divBdr>
        <w:top w:val="none" w:sz="0" w:space="0" w:color="auto"/>
        <w:left w:val="none" w:sz="0" w:space="0" w:color="auto"/>
        <w:bottom w:val="none" w:sz="0" w:space="0" w:color="auto"/>
        <w:right w:val="none" w:sz="0" w:space="0" w:color="auto"/>
      </w:divBdr>
    </w:div>
    <w:div w:id="1479422319">
      <w:bodyDiv w:val="1"/>
      <w:marLeft w:val="0"/>
      <w:marRight w:val="0"/>
      <w:marTop w:val="0"/>
      <w:marBottom w:val="0"/>
      <w:divBdr>
        <w:top w:val="none" w:sz="0" w:space="0" w:color="auto"/>
        <w:left w:val="none" w:sz="0" w:space="0" w:color="auto"/>
        <w:bottom w:val="none" w:sz="0" w:space="0" w:color="auto"/>
        <w:right w:val="none" w:sz="0" w:space="0" w:color="auto"/>
      </w:divBdr>
      <w:divsChild>
        <w:div w:id="546988010">
          <w:marLeft w:val="720"/>
          <w:marRight w:val="0"/>
          <w:marTop w:val="0"/>
          <w:marBottom w:val="0"/>
          <w:divBdr>
            <w:top w:val="none" w:sz="0" w:space="0" w:color="auto"/>
            <w:left w:val="none" w:sz="0" w:space="0" w:color="auto"/>
            <w:bottom w:val="none" w:sz="0" w:space="0" w:color="auto"/>
            <w:right w:val="none" w:sz="0" w:space="0" w:color="auto"/>
          </w:divBdr>
        </w:div>
        <w:div w:id="728380428">
          <w:marLeft w:val="1080"/>
          <w:marRight w:val="0"/>
          <w:marTop w:val="0"/>
          <w:marBottom w:val="0"/>
          <w:divBdr>
            <w:top w:val="none" w:sz="0" w:space="0" w:color="auto"/>
            <w:left w:val="none" w:sz="0" w:space="0" w:color="auto"/>
            <w:bottom w:val="none" w:sz="0" w:space="0" w:color="auto"/>
            <w:right w:val="none" w:sz="0" w:space="0" w:color="auto"/>
          </w:divBdr>
        </w:div>
        <w:div w:id="1020160681">
          <w:marLeft w:val="1080"/>
          <w:marRight w:val="0"/>
          <w:marTop w:val="0"/>
          <w:marBottom w:val="0"/>
          <w:divBdr>
            <w:top w:val="none" w:sz="0" w:space="0" w:color="auto"/>
            <w:left w:val="none" w:sz="0" w:space="0" w:color="auto"/>
            <w:bottom w:val="none" w:sz="0" w:space="0" w:color="auto"/>
            <w:right w:val="none" w:sz="0" w:space="0" w:color="auto"/>
          </w:divBdr>
        </w:div>
        <w:div w:id="1922442694">
          <w:marLeft w:val="1080"/>
          <w:marRight w:val="0"/>
          <w:marTop w:val="0"/>
          <w:marBottom w:val="0"/>
          <w:divBdr>
            <w:top w:val="none" w:sz="0" w:space="0" w:color="auto"/>
            <w:left w:val="none" w:sz="0" w:space="0" w:color="auto"/>
            <w:bottom w:val="none" w:sz="0" w:space="0" w:color="auto"/>
            <w:right w:val="none" w:sz="0" w:space="0" w:color="auto"/>
          </w:divBdr>
        </w:div>
      </w:divsChild>
    </w:div>
    <w:div w:id="1505320286">
      <w:bodyDiv w:val="1"/>
      <w:marLeft w:val="0"/>
      <w:marRight w:val="0"/>
      <w:marTop w:val="0"/>
      <w:marBottom w:val="0"/>
      <w:divBdr>
        <w:top w:val="none" w:sz="0" w:space="0" w:color="auto"/>
        <w:left w:val="none" w:sz="0" w:space="0" w:color="auto"/>
        <w:bottom w:val="none" w:sz="0" w:space="0" w:color="auto"/>
        <w:right w:val="none" w:sz="0" w:space="0" w:color="auto"/>
      </w:divBdr>
      <w:divsChild>
        <w:div w:id="9989113">
          <w:marLeft w:val="1339"/>
          <w:marRight w:val="0"/>
          <w:marTop w:val="58"/>
          <w:marBottom w:val="120"/>
          <w:divBdr>
            <w:top w:val="none" w:sz="0" w:space="0" w:color="auto"/>
            <w:left w:val="none" w:sz="0" w:space="0" w:color="auto"/>
            <w:bottom w:val="none" w:sz="0" w:space="0" w:color="auto"/>
            <w:right w:val="none" w:sz="0" w:space="0" w:color="auto"/>
          </w:divBdr>
        </w:div>
        <w:div w:id="147139890">
          <w:marLeft w:val="907"/>
          <w:marRight w:val="0"/>
          <w:marTop w:val="77"/>
          <w:marBottom w:val="120"/>
          <w:divBdr>
            <w:top w:val="none" w:sz="0" w:space="0" w:color="auto"/>
            <w:left w:val="none" w:sz="0" w:space="0" w:color="auto"/>
            <w:bottom w:val="none" w:sz="0" w:space="0" w:color="auto"/>
            <w:right w:val="none" w:sz="0" w:space="0" w:color="auto"/>
          </w:divBdr>
        </w:div>
        <w:div w:id="534126088">
          <w:marLeft w:val="1094"/>
          <w:marRight w:val="0"/>
          <w:marTop w:val="67"/>
          <w:marBottom w:val="120"/>
          <w:divBdr>
            <w:top w:val="none" w:sz="0" w:space="0" w:color="auto"/>
            <w:left w:val="none" w:sz="0" w:space="0" w:color="auto"/>
            <w:bottom w:val="none" w:sz="0" w:space="0" w:color="auto"/>
            <w:right w:val="none" w:sz="0" w:space="0" w:color="auto"/>
          </w:divBdr>
        </w:div>
        <w:div w:id="702829906">
          <w:marLeft w:val="907"/>
          <w:marRight w:val="0"/>
          <w:marTop w:val="77"/>
          <w:marBottom w:val="120"/>
          <w:divBdr>
            <w:top w:val="none" w:sz="0" w:space="0" w:color="auto"/>
            <w:left w:val="none" w:sz="0" w:space="0" w:color="auto"/>
            <w:bottom w:val="none" w:sz="0" w:space="0" w:color="auto"/>
            <w:right w:val="none" w:sz="0" w:space="0" w:color="auto"/>
          </w:divBdr>
        </w:div>
        <w:div w:id="930240694">
          <w:marLeft w:val="907"/>
          <w:marRight w:val="0"/>
          <w:marTop w:val="77"/>
          <w:marBottom w:val="120"/>
          <w:divBdr>
            <w:top w:val="none" w:sz="0" w:space="0" w:color="auto"/>
            <w:left w:val="none" w:sz="0" w:space="0" w:color="auto"/>
            <w:bottom w:val="none" w:sz="0" w:space="0" w:color="auto"/>
            <w:right w:val="none" w:sz="0" w:space="0" w:color="auto"/>
          </w:divBdr>
        </w:div>
        <w:div w:id="965964617">
          <w:marLeft w:val="1094"/>
          <w:marRight w:val="0"/>
          <w:marTop w:val="67"/>
          <w:marBottom w:val="120"/>
          <w:divBdr>
            <w:top w:val="none" w:sz="0" w:space="0" w:color="auto"/>
            <w:left w:val="none" w:sz="0" w:space="0" w:color="auto"/>
            <w:bottom w:val="none" w:sz="0" w:space="0" w:color="auto"/>
            <w:right w:val="none" w:sz="0" w:space="0" w:color="auto"/>
          </w:divBdr>
        </w:div>
        <w:div w:id="986085532">
          <w:marLeft w:val="1094"/>
          <w:marRight w:val="0"/>
          <w:marTop w:val="67"/>
          <w:marBottom w:val="120"/>
          <w:divBdr>
            <w:top w:val="none" w:sz="0" w:space="0" w:color="auto"/>
            <w:left w:val="none" w:sz="0" w:space="0" w:color="auto"/>
            <w:bottom w:val="none" w:sz="0" w:space="0" w:color="auto"/>
            <w:right w:val="none" w:sz="0" w:space="0" w:color="auto"/>
          </w:divBdr>
        </w:div>
        <w:div w:id="1445229048">
          <w:marLeft w:val="1094"/>
          <w:marRight w:val="0"/>
          <w:marTop w:val="67"/>
          <w:marBottom w:val="120"/>
          <w:divBdr>
            <w:top w:val="none" w:sz="0" w:space="0" w:color="auto"/>
            <w:left w:val="none" w:sz="0" w:space="0" w:color="auto"/>
            <w:bottom w:val="none" w:sz="0" w:space="0" w:color="auto"/>
            <w:right w:val="none" w:sz="0" w:space="0" w:color="auto"/>
          </w:divBdr>
        </w:div>
        <w:div w:id="1456675925">
          <w:marLeft w:val="1454"/>
          <w:marRight w:val="0"/>
          <w:marTop w:val="58"/>
          <w:marBottom w:val="120"/>
          <w:divBdr>
            <w:top w:val="none" w:sz="0" w:space="0" w:color="auto"/>
            <w:left w:val="none" w:sz="0" w:space="0" w:color="auto"/>
            <w:bottom w:val="none" w:sz="0" w:space="0" w:color="auto"/>
            <w:right w:val="none" w:sz="0" w:space="0" w:color="auto"/>
          </w:divBdr>
        </w:div>
        <w:div w:id="1570111586">
          <w:marLeft w:val="1339"/>
          <w:marRight w:val="0"/>
          <w:marTop w:val="58"/>
          <w:marBottom w:val="120"/>
          <w:divBdr>
            <w:top w:val="none" w:sz="0" w:space="0" w:color="auto"/>
            <w:left w:val="none" w:sz="0" w:space="0" w:color="auto"/>
            <w:bottom w:val="none" w:sz="0" w:space="0" w:color="auto"/>
            <w:right w:val="none" w:sz="0" w:space="0" w:color="auto"/>
          </w:divBdr>
        </w:div>
        <w:div w:id="1572421655">
          <w:marLeft w:val="1454"/>
          <w:marRight w:val="0"/>
          <w:marTop w:val="58"/>
          <w:marBottom w:val="120"/>
          <w:divBdr>
            <w:top w:val="none" w:sz="0" w:space="0" w:color="auto"/>
            <w:left w:val="none" w:sz="0" w:space="0" w:color="auto"/>
            <w:bottom w:val="none" w:sz="0" w:space="0" w:color="auto"/>
            <w:right w:val="none" w:sz="0" w:space="0" w:color="auto"/>
          </w:divBdr>
        </w:div>
        <w:div w:id="1718507056">
          <w:marLeft w:val="1094"/>
          <w:marRight w:val="0"/>
          <w:marTop w:val="67"/>
          <w:marBottom w:val="120"/>
          <w:divBdr>
            <w:top w:val="none" w:sz="0" w:space="0" w:color="auto"/>
            <w:left w:val="none" w:sz="0" w:space="0" w:color="auto"/>
            <w:bottom w:val="none" w:sz="0" w:space="0" w:color="auto"/>
            <w:right w:val="none" w:sz="0" w:space="0" w:color="auto"/>
          </w:divBdr>
        </w:div>
        <w:div w:id="1915313172">
          <w:marLeft w:val="274"/>
          <w:marRight w:val="0"/>
          <w:marTop w:val="86"/>
          <w:marBottom w:val="120"/>
          <w:divBdr>
            <w:top w:val="none" w:sz="0" w:space="0" w:color="auto"/>
            <w:left w:val="none" w:sz="0" w:space="0" w:color="auto"/>
            <w:bottom w:val="none" w:sz="0" w:space="0" w:color="auto"/>
            <w:right w:val="none" w:sz="0" w:space="0" w:color="auto"/>
          </w:divBdr>
        </w:div>
        <w:div w:id="1943292754">
          <w:marLeft w:val="1094"/>
          <w:marRight w:val="0"/>
          <w:marTop w:val="67"/>
          <w:marBottom w:val="120"/>
          <w:divBdr>
            <w:top w:val="none" w:sz="0" w:space="0" w:color="auto"/>
            <w:left w:val="none" w:sz="0" w:space="0" w:color="auto"/>
            <w:bottom w:val="none" w:sz="0" w:space="0" w:color="auto"/>
            <w:right w:val="none" w:sz="0" w:space="0" w:color="auto"/>
          </w:divBdr>
        </w:div>
      </w:divsChild>
    </w:div>
    <w:div w:id="1682925250">
      <w:bodyDiv w:val="1"/>
      <w:marLeft w:val="0"/>
      <w:marRight w:val="0"/>
      <w:marTop w:val="0"/>
      <w:marBottom w:val="0"/>
      <w:divBdr>
        <w:top w:val="none" w:sz="0" w:space="0" w:color="auto"/>
        <w:left w:val="none" w:sz="0" w:space="0" w:color="auto"/>
        <w:bottom w:val="none" w:sz="0" w:space="0" w:color="auto"/>
        <w:right w:val="none" w:sz="0" w:space="0" w:color="auto"/>
      </w:divBdr>
      <w:divsChild>
        <w:div w:id="23218855">
          <w:marLeft w:val="1094"/>
          <w:marRight w:val="0"/>
          <w:marTop w:val="67"/>
          <w:marBottom w:val="120"/>
          <w:divBdr>
            <w:top w:val="none" w:sz="0" w:space="0" w:color="auto"/>
            <w:left w:val="none" w:sz="0" w:space="0" w:color="auto"/>
            <w:bottom w:val="none" w:sz="0" w:space="0" w:color="auto"/>
            <w:right w:val="none" w:sz="0" w:space="0" w:color="auto"/>
          </w:divBdr>
        </w:div>
        <w:div w:id="103037769">
          <w:marLeft w:val="1094"/>
          <w:marRight w:val="0"/>
          <w:marTop w:val="67"/>
          <w:marBottom w:val="120"/>
          <w:divBdr>
            <w:top w:val="none" w:sz="0" w:space="0" w:color="auto"/>
            <w:left w:val="none" w:sz="0" w:space="0" w:color="auto"/>
            <w:bottom w:val="none" w:sz="0" w:space="0" w:color="auto"/>
            <w:right w:val="none" w:sz="0" w:space="0" w:color="auto"/>
          </w:divBdr>
        </w:div>
        <w:div w:id="364600230">
          <w:marLeft w:val="907"/>
          <w:marRight w:val="0"/>
          <w:marTop w:val="77"/>
          <w:marBottom w:val="120"/>
          <w:divBdr>
            <w:top w:val="none" w:sz="0" w:space="0" w:color="auto"/>
            <w:left w:val="none" w:sz="0" w:space="0" w:color="auto"/>
            <w:bottom w:val="none" w:sz="0" w:space="0" w:color="auto"/>
            <w:right w:val="none" w:sz="0" w:space="0" w:color="auto"/>
          </w:divBdr>
        </w:div>
        <w:div w:id="393435744">
          <w:marLeft w:val="1339"/>
          <w:marRight w:val="0"/>
          <w:marTop w:val="58"/>
          <w:marBottom w:val="120"/>
          <w:divBdr>
            <w:top w:val="none" w:sz="0" w:space="0" w:color="auto"/>
            <w:left w:val="none" w:sz="0" w:space="0" w:color="auto"/>
            <w:bottom w:val="none" w:sz="0" w:space="0" w:color="auto"/>
            <w:right w:val="none" w:sz="0" w:space="0" w:color="auto"/>
          </w:divBdr>
        </w:div>
        <w:div w:id="1015616641">
          <w:marLeft w:val="274"/>
          <w:marRight w:val="0"/>
          <w:marTop w:val="86"/>
          <w:marBottom w:val="120"/>
          <w:divBdr>
            <w:top w:val="none" w:sz="0" w:space="0" w:color="auto"/>
            <w:left w:val="none" w:sz="0" w:space="0" w:color="auto"/>
            <w:bottom w:val="none" w:sz="0" w:space="0" w:color="auto"/>
            <w:right w:val="none" w:sz="0" w:space="0" w:color="auto"/>
          </w:divBdr>
        </w:div>
        <w:div w:id="1060639664">
          <w:marLeft w:val="907"/>
          <w:marRight w:val="0"/>
          <w:marTop w:val="77"/>
          <w:marBottom w:val="120"/>
          <w:divBdr>
            <w:top w:val="none" w:sz="0" w:space="0" w:color="auto"/>
            <w:left w:val="none" w:sz="0" w:space="0" w:color="auto"/>
            <w:bottom w:val="none" w:sz="0" w:space="0" w:color="auto"/>
            <w:right w:val="none" w:sz="0" w:space="0" w:color="auto"/>
          </w:divBdr>
        </w:div>
        <w:div w:id="1255438717">
          <w:marLeft w:val="1094"/>
          <w:marRight w:val="0"/>
          <w:marTop w:val="67"/>
          <w:marBottom w:val="120"/>
          <w:divBdr>
            <w:top w:val="none" w:sz="0" w:space="0" w:color="auto"/>
            <w:left w:val="none" w:sz="0" w:space="0" w:color="auto"/>
            <w:bottom w:val="none" w:sz="0" w:space="0" w:color="auto"/>
            <w:right w:val="none" w:sz="0" w:space="0" w:color="auto"/>
          </w:divBdr>
        </w:div>
        <w:div w:id="1258370965">
          <w:marLeft w:val="1339"/>
          <w:marRight w:val="0"/>
          <w:marTop w:val="58"/>
          <w:marBottom w:val="120"/>
          <w:divBdr>
            <w:top w:val="none" w:sz="0" w:space="0" w:color="auto"/>
            <w:left w:val="none" w:sz="0" w:space="0" w:color="auto"/>
            <w:bottom w:val="none" w:sz="0" w:space="0" w:color="auto"/>
            <w:right w:val="none" w:sz="0" w:space="0" w:color="auto"/>
          </w:divBdr>
        </w:div>
        <w:div w:id="1479759575">
          <w:marLeft w:val="907"/>
          <w:marRight w:val="0"/>
          <w:marTop w:val="77"/>
          <w:marBottom w:val="120"/>
          <w:divBdr>
            <w:top w:val="none" w:sz="0" w:space="0" w:color="auto"/>
            <w:left w:val="none" w:sz="0" w:space="0" w:color="auto"/>
            <w:bottom w:val="none" w:sz="0" w:space="0" w:color="auto"/>
            <w:right w:val="none" w:sz="0" w:space="0" w:color="auto"/>
          </w:divBdr>
        </w:div>
        <w:div w:id="1714306477">
          <w:marLeft w:val="1094"/>
          <w:marRight w:val="0"/>
          <w:marTop w:val="67"/>
          <w:marBottom w:val="120"/>
          <w:divBdr>
            <w:top w:val="none" w:sz="0" w:space="0" w:color="auto"/>
            <w:left w:val="none" w:sz="0" w:space="0" w:color="auto"/>
            <w:bottom w:val="none" w:sz="0" w:space="0" w:color="auto"/>
            <w:right w:val="none" w:sz="0" w:space="0" w:color="auto"/>
          </w:divBdr>
        </w:div>
        <w:div w:id="1764690440">
          <w:marLeft w:val="1094"/>
          <w:marRight w:val="0"/>
          <w:marTop w:val="67"/>
          <w:marBottom w:val="120"/>
          <w:divBdr>
            <w:top w:val="none" w:sz="0" w:space="0" w:color="auto"/>
            <w:left w:val="none" w:sz="0" w:space="0" w:color="auto"/>
            <w:bottom w:val="none" w:sz="0" w:space="0" w:color="auto"/>
            <w:right w:val="none" w:sz="0" w:space="0" w:color="auto"/>
          </w:divBdr>
        </w:div>
        <w:div w:id="1777947000">
          <w:marLeft w:val="1454"/>
          <w:marRight w:val="0"/>
          <w:marTop w:val="58"/>
          <w:marBottom w:val="120"/>
          <w:divBdr>
            <w:top w:val="none" w:sz="0" w:space="0" w:color="auto"/>
            <w:left w:val="none" w:sz="0" w:space="0" w:color="auto"/>
            <w:bottom w:val="none" w:sz="0" w:space="0" w:color="auto"/>
            <w:right w:val="none" w:sz="0" w:space="0" w:color="auto"/>
          </w:divBdr>
        </w:div>
        <w:div w:id="1945461065">
          <w:marLeft w:val="1454"/>
          <w:marRight w:val="0"/>
          <w:marTop w:val="58"/>
          <w:marBottom w:val="120"/>
          <w:divBdr>
            <w:top w:val="none" w:sz="0" w:space="0" w:color="auto"/>
            <w:left w:val="none" w:sz="0" w:space="0" w:color="auto"/>
            <w:bottom w:val="none" w:sz="0" w:space="0" w:color="auto"/>
            <w:right w:val="none" w:sz="0" w:space="0" w:color="auto"/>
          </w:divBdr>
        </w:div>
        <w:div w:id="2143572970">
          <w:marLeft w:val="1094"/>
          <w:marRight w:val="0"/>
          <w:marTop w:val="67"/>
          <w:marBottom w:val="120"/>
          <w:divBdr>
            <w:top w:val="none" w:sz="0" w:space="0" w:color="auto"/>
            <w:left w:val="none" w:sz="0" w:space="0" w:color="auto"/>
            <w:bottom w:val="none" w:sz="0" w:space="0" w:color="auto"/>
            <w:right w:val="none" w:sz="0" w:space="0" w:color="auto"/>
          </w:divBdr>
        </w:div>
      </w:divsChild>
    </w:div>
    <w:div w:id="1858345116">
      <w:bodyDiv w:val="1"/>
      <w:marLeft w:val="0"/>
      <w:marRight w:val="0"/>
      <w:marTop w:val="0"/>
      <w:marBottom w:val="0"/>
      <w:divBdr>
        <w:top w:val="none" w:sz="0" w:space="0" w:color="auto"/>
        <w:left w:val="none" w:sz="0" w:space="0" w:color="auto"/>
        <w:bottom w:val="none" w:sz="0" w:space="0" w:color="auto"/>
        <w:right w:val="none" w:sz="0" w:space="0" w:color="auto"/>
      </w:divBdr>
      <w:divsChild>
        <w:div w:id="276832757">
          <w:marLeft w:val="259"/>
          <w:marRight w:val="0"/>
          <w:marTop w:val="0"/>
          <w:marBottom w:val="240"/>
          <w:divBdr>
            <w:top w:val="none" w:sz="0" w:space="0" w:color="auto"/>
            <w:left w:val="none" w:sz="0" w:space="0" w:color="auto"/>
            <w:bottom w:val="none" w:sz="0" w:space="0" w:color="auto"/>
            <w:right w:val="none" w:sz="0" w:space="0" w:color="auto"/>
          </w:divBdr>
        </w:div>
        <w:div w:id="1341199261">
          <w:marLeft w:val="648"/>
          <w:marRight w:val="0"/>
          <w:marTop w:val="0"/>
          <w:marBottom w:val="240"/>
          <w:divBdr>
            <w:top w:val="none" w:sz="0" w:space="0" w:color="auto"/>
            <w:left w:val="none" w:sz="0" w:space="0" w:color="auto"/>
            <w:bottom w:val="none" w:sz="0" w:space="0" w:color="auto"/>
            <w:right w:val="none" w:sz="0" w:space="0" w:color="auto"/>
          </w:divBdr>
        </w:div>
        <w:div w:id="1344668816">
          <w:marLeft w:val="259"/>
          <w:marRight w:val="0"/>
          <w:marTop w:val="0"/>
          <w:marBottom w:val="240"/>
          <w:divBdr>
            <w:top w:val="none" w:sz="0" w:space="0" w:color="auto"/>
            <w:left w:val="none" w:sz="0" w:space="0" w:color="auto"/>
            <w:bottom w:val="none" w:sz="0" w:space="0" w:color="auto"/>
            <w:right w:val="none" w:sz="0" w:space="0" w:color="auto"/>
          </w:divBdr>
        </w:div>
        <w:div w:id="1449201662">
          <w:marLeft w:val="259"/>
          <w:marRight w:val="0"/>
          <w:marTop w:val="0"/>
          <w:marBottom w:val="240"/>
          <w:divBdr>
            <w:top w:val="none" w:sz="0" w:space="0" w:color="auto"/>
            <w:left w:val="none" w:sz="0" w:space="0" w:color="auto"/>
            <w:bottom w:val="none" w:sz="0" w:space="0" w:color="auto"/>
            <w:right w:val="none" w:sz="0" w:space="0" w:color="auto"/>
          </w:divBdr>
        </w:div>
        <w:div w:id="1603686998">
          <w:marLeft w:val="259"/>
          <w:marRight w:val="0"/>
          <w:marTop w:val="0"/>
          <w:marBottom w:val="240"/>
          <w:divBdr>
            <w:top w:val="none" w:sz="0" w:space="0" w:color="auto"/>
            <w:left w:val="none" w:sz="0" w:space="0" w:color="auto"/>
            <w:bottom w:val="none" w:sz="0" w:space="0" w:color="auto"/>
            <w:right w:val="none" w:sz="0" w:space="0" w:color="auto"/>
          </w:divBdr>
        </w:div>
        <w:div w:id="2135176778">
          <w:marLeft w:val="648"/>
          <w:marRight w:val="0"/>
          <w:marTop w:val="0"/>
          <w:marBottom w:val="240"/>
          <w:divBdr>
            <w:top w:val="none" w:sz="0" w:space="0" w:color="auto"/>
            <w:left w:val="none" w:sz="0" w:space="0" w:color="auto"/>
            <w:bottom w:val="none" w:sz="0" w:space="0" w:color="auto"/>
            <w:right w:val="none" w:sz="0" w:space="0" w:color="auto"/>
          </w:divBdr>
        </w:div>
      </w:divsChild>
    </w:div>
    <w:div w:id="1901163045">
      <w:bodyDiv w:val="1"/>
      <w:marLeft w:val="0"/>
      <w:marRight w:val="0"/>
      <w:marTop w:val="0"/>
      <w:marBottom w:val="0"/>
      <w:divBdr>
        <w:top w:val="none" w:sz="0" w:space="0" w:color="auto"/>
        <w:left w:val="none" w:sz="0" w:space="0" w:color="auto"/>
        <w:bottom w:val="none" w:sz="0" w:space="0" w:color="auto"/>
        <w:right w:val="none" w:sz="0" w:space="0" w:color="auto"/>
      </w:divBdr>
      <w:divsChild>
        <w:div w:id="710348398">
          <w:marLeft w:val="259"/>
          <w:marRight w:val="0"/>
          <w:marTop w:val="0"/>
          <w:marBottom w:val="240"/>
          <w:divBdr>
            <w:top w:val="none" w:sz="0" w:space="0" w:color="auto"/>
            <w:left w:val="none" w:sz="0" w:space="0" w:color="auto"/>
            <w:bottom w:val="none" w:sz="0" w:space="0" w:color="auto"/>
            <w:right w:val="none" w:sz="0" w:space="0" w:color="auto"/>
          </w:divBdr>
        </w:div>
        <w:div w:id="745146898">
          <w:marLeft w:val="259"/>
          <w:marRight w:val="0"/>
          <w:marTop w:val="0"/>
          <w:marBottom w:val="240"/>
          <w:divBdr>
            <w:top w:val="none" w:sz="0" w:space="0" w:color="auto"/>
            <w:left w:val="none" w:sz="0" w:space="0" w:color="auto"/>
            <w:bottom w:val="none" w:sz="0" w:space="0" w:color="auto"/>
            <w:right w:val="none" w:sz="0" w:space="0" w:color="auto"/>
          </w:divBdr>
        </w:div>
        <w:div w:id="1396319004">
          <w:marLeft w:val="259"/>
          <w:marRight w:val="0"/>
          <w:marTop w:val="0"/>
          <w:marBottom w:val="240"/>
          <w:divBdr>
            <w:top w:val="none" w:sz="0" w:space="0" w:color="auto"/>
            <w:left w:val="none" w:sz="0" w:space="0" w:color="auto"/>
            <w:bottom w:val="none" w:sz="0" w:space="0" w:color="auto"/>
            <w:right w:val="none" w:sz="0" w:space="0" w:color="auto"/>
          </w:divBdr>
        </w:div>
        <w:div w:id="1838154675">
          <w:marLeft w:val="259"/>
          <w:marRight w:val="0"/>
          <w:marTop w:val="0"/>
          <w:marBottom w:val="240"/>
          <w:divBdr>
            <w:top w:val="none" w:sz="0" w:space="0" w:color="auto"/>
            <w:left w:val="none" w:sz="0" w:space="0" w:color="auto"/>
            <w:bottom w:val="none" w:sz="0" w:space="0" w:color="auto"/>
            <w:right w:val="none" w:sz="0" w:space="0" w:color="auto"/>
          </w:divBdr>
        </w:div>
        <w:div w:id="1920482419">
          <w:marLeft w:val="259"/>
          <w:marRight w:val="0"/>
          <w:marTop w:val="0"/>
          <w:marBottom w:val="240"/>
          <w:divBdr>
            <w:top w:val="none" w:sz="0" w:space="0" w:color="auto"/>
            <w:left w:val="none" w:sz="0" w:space="0" w:color="auto"/>
            <w:bottom w:val="none" w:sz="0" w:space="0" w:color="auto"/>
            <w:right w:val="none" w:sz="0" w:space="0" w:color="auto"/>
          </w:divBdr>
        </w:div>
      </w:divsChild>
    </w:div>
    <w:div w:id="1940064390">
      <w:bodyDiv w:val="1"/>
      <w:marLeft w:val="0"/>
      <w:marRight w:val="0"/>
      <w:marTop w:val="0"/>
      <w:marBottom w:val="0"/>
      <w:divBdr>
        <w:top w:val="none" w:sz="0" w:space="0" w:color="auto"/>
        <w:left w:val="none" w:sz="0" w:space="0" w:color="auto"/>
        <w:bottom w:val="none" w:sz="0" w:space="0" w:color="auto"/>
        <w:right w:val="none" w:sz="0" w:space="0" w:color="auto"/>
      </w:divBdr>
    </w:div>
    <w:div w:id="1942293439">
      <w:bodyDiv w:val="1"/>
      <w:marLeft w:val="0"/>
      <w:marRight w:val="0"/>
      <w:marTop w:val="0"/>
      <w:marBottom w:val="0"/>
      <w:divBdr>
        <w:top w:val="none" w:sz="0" w:space="0" w:color="auto"/>
        <w:left w:val="none" w:sz="0" w:space="0" w:color="auto"/>
        <w:bottom w:val="none" w:sz="0" w:space="0" w:color="auto"/>
        <w:right w:val="none" w:sz="0" w:space="0" w:color="auto"/>
      </w:divBdr>
    </w:div>
    <w:div w:id="1948392820">
      <w:bodyDiv w:val="1"/>
      <w:marLeft w:val="0"/>
      <w:marRight w:val="0"/>
      <w:marTop w:val="0"/>
      <w:marBottom w:val="0"/>
      <w:divBdr>
        <w:top w:val="none" w:sz="0" w:space="0" w:color="auto"/>
        <w:left w:val="none" w:sz="0" w:space="0" w:color="auto"/>
        <w:bottom w:val="none" w:sz="0" w:space="0" w:color="auto"/>
        <w:right w:val="none" w:sz="0" w:space="0" w:color="auto"/>
      </w:divBdr>
      <w:divsChild>
        <w:div w:id="99422635">
          <w:marLeft w:val="634"/>
          <w:marRight w:val="0"/>
          <w:marTop w:val="0"/>
          <w:marBottom w:val="120"/>
          <w:divBdr>
            <w:top w:val="none" w:sz="0" w:space="0" w:color="auto"/>
            <w:left w:val="none" w:sz="0" w:space="0" w:color="auto"/>
            <w:bottom w:val="none" w:sz="0" w:space="0" w:color="auto"/>
            <w:right w:val="none" w:sz="0" w:space="0" w:color="auto"/>
          </w:divBdr>
        </w:div>
        <w:div w:id="208804211">
          <w:marLeft w:val="0"/>
          <w:marRight w:val="0"/>
          <w:marTop w:val="0"/>
          <w:marBottom w:val="120"/>
          <w:divBdr>
            <w:top w:val="none" w:sz="0" w:space="0" w:color="auto"/>
            <w:left w:val="none" w:sz="0" w:space="0" w:color="auto"/>
            <w:bottom w:val="none" w:sz="0" w:space="0" w:color="auto"/>
            <w:right w:val="none" w:sz="0" w:space="0" w:color="auto"/>
          </w:divBdr>
        </w:div>
        <w:div w:id="318965337">
          <w:marLeft w:val="0"/>
          <w:marRight w:val="0"/>
          <w:marTop w:val="0"/>
          <w:marBottom w:val="120"/>
          <w:divBdr>
            <w:top w:val="none" w:sz="0" w:space="0" w:color="auto"/>
            <w:left w:val="none" w:sz="0" w:space="0" w:color="auto"/>
            <w:bottom w:val="none" w:sz="0" w:space="0" w:color="auto"/>
            <w:right w:val="none" w:sz="0" w:space="0" w:color="auto"/>
          </w:divBdr>
        </w:div>
        <w:div w:id="700939806">
          <w:marLeft w:val="0"/>
          <w:marRight w:val="0"/>
          <w:marTop w:val="0"/>
          <w:marBottom w:val="240"/>
          <w:divBdr>
            <w:top w:val="none" w:sz="0" w:space="0" w:color="auto"/>
            <w:left w:val="none" w:sz="0" w:space="0" w:color="auto"/>
            <w:bottom w:val="none" w:sz="0" w:space="0" w:color="auto"/>
            <w:right w:val="none" w:sz="0" w:space="0" w:color="auto"/>
          </w:divBdr>
        </w:div>
        <w:div w:id="1064178476">
          <w:marLeft w:val="0"/>
          <w:marRight w:val="0"/>
          <w:marTop w:val="0"/>
          <w:marBottom w:val="120"/>
          <w:divBdr>
            <w:top w:val="none" w:sz="0" w:space="0" w:color="auto"/>
            <w:left w:val="none" w:sz="0" w:space="0" w:color="auto"/>
            <w:bottom w:val="none" w:sz="0" w:space="0" w:color="auto"/>
            <w:right w:val="none" w:sz="0" w:space="0" w:color="auto"/>
          </w:divBdr>
        </w:div>
        <w:div w:id="1532916222">
          <w:marLeft w:val="634"/>
          <w:marRight w:val="0"/>
          <w:marTop w:val="0"/>
          <w:marBottom w:val="120"/>
          <w:divBdr>
            <w:top w:val="none" w:sz="0" w:space="0" w:color="auto"/>
            <w:left w:val="none" w:sz="0" w:space="0" w:color="auto"/>
            <w:bottom w:val="none" w:sz="0" w:space="0" w:color="auto"/>
            <w:right w:val="none" w:sz="0" w:space="0" w:color="auto"/>
          </w:divBdr>
        </w:div>
        <w:div w:id="1578244825">
          <w:marLeft w:val="0"/>
          <w:marRight w:val="0"/>
          <w:marTop w:val="0"/>
          <w:marBottom w:val="120"/>
          <w:divBdr>
            <w:top w:val="none" w:sz="0" w:space="0" w:color="auto"/>
            <w:left w:val="none" w:sz="0" w:space="0" w:color="auto"/>
            <w:bottom w:val="none" w:sz="0" w:space="0" w:color="auto"/>
            <w:right w:val="none" w:sz="0" w:space="0" w:color="auto"/>
          </w:divBdr>
        </w:div>
        <w:div w:id="1952976270">
          <w:marLeft w:val="0"/>
          <w:marRight w:val="0"/>
          <w:marTop w:val="0"/>
          <w:marBottom w:val="120"/>
          <w:divBdr>
            <w:top w:val="none" w:sz="0" w:space="0" w:color="auto"/>
            <w:left w:val="none" w:sz="0" w:space="0" w:color="auto"/>
            <w:bottom w:val="none" w:sz="0" w:space="0" w:color="auto"/>
            <w:right w:val="none" w:sz="0" w:space="0" w:color="auto"/>
          </w:divBdr>
        </w:div>
        <w:div w:id="2078816378">
          <w:marLeft w:val="0"/>
          <w:marRight w:val="0"/>
          <w:marTop w:val="0"/>
          <w:marBottom w:val="240"/>
          <w:divBdr>
            <w:top w:val="none" w:sz="0" w:space="0" w:color="auto"/>
            <w:left w:val="none" w:sz="0" w:space="0" w:color="auto"/>
            <w:bottom w:val="none" w:sz="0" w:space="0" w:color="auto"/>
            <w:right w:val="none" w:sz="0" w:space="0" w:color="auto"/>
          </w:divBdr>
        </w:div>
        <w:div w:id="2132748837">
          <w:marLeft w:val="0"/>
          <w:marRight w:val="0"/>
          <w:marTop w:val="0"/>
          <w:marBottom w:val="120"/>
          <w:divBdr>
            <w:top w:val="none" w:sz="0" w:space="0" w:color="auto"/>
            <w:left w:val="none" w:sz="0" w:space="0" w:color="auto"/>
            <w:bottom w:val="none" w:sz="0" w:space="0" w:color="auto"/>
            <w:right w:val="none" w:sz="0" w:space="0" w:color="auto"/>
          </w:divBdr>
        </w:div>
      </w:divsChild>
    </w:div>
    <w:div w:id="1963799425">
      <w:bodyDiv w:val="1"/>
      <w:marLeft w:val="0"/>
      <w:marRight w:val="0"/>
      <w:marTop w:val="0"/>
      <w:marBottom w:val="0"/>
      <w:divBdr>
        <w:top w:val="none" w:sz="0" w:space="0" w:color="auto"/>
        <w:left w:val="none" w:sz="0" w:space="0" w:color="auto"/>
        <w:bottom w:val="none" w:sz="0" w:space="0" w:color="auto"/>
        <w:right w:val="none" w:sz="0" w:space="0" w:color="auto"/>
      </w:divBdr>
    </w:div>
    <w:div w:id="2019654181">
      <w:bodyDiv w:val="1"/>
      <w:marLeft w:val="0"/>
      <w:marRight w:val="0"/>
      <w:marTop w:val="0"/>
      <w:marBottom w:val="0"/>
      <w:divBdr>
        <w:top w:val="none" w:sz="0" w:space="0" w:color="auto"/>
        <w:left w:val="none" w:sz="0" w:space="0" w:color="auto"/>
        <w:bottom w:val="none" w:sz="0" w:space="0" w:color="auto"/>
        <w:right w:val="none" w:sz="0" w:space="0" w:color="auto"/>
      </w:divBdr>
      <w:divsChild>
        <w:div w:id="416950459">
          <w:marLeft w:val="259"/>
          <w:marRight w:val="0"/>
          <w:marTop w:val="0"/>
          <w:marBottom w:val="120"/>
          <w:divBdr>
            <w:top w:val="none" w:sz="0" w:space="0" w:color="auto"/>
            <w:left w:val="none" w:sz="0" w:space="0" w:color="auto"/>
            <w:bottom w:val="none" w:sz="0" w:space="0" w:color="auto"/>
            <w:right w:val="none" w:sz="0" w:space="0" w:color="auto"/>
          </w:divBdr>
        </w:div>
        <w:div w:id="677270694">
          <w:marLeft w:val="259"/>
          <w:marRight w:val="0"/>
          <w:marTop w:val="0"/>
          <w:marBottom w:val="120"/>
          <w:divBdr>
            <w:top w:val="none" w:sz="0" w:space="0" w:color="auto"/>
            <w:left w:val="none" w:sz="0" w:space="0" w:color="auto"/>
            <w:bottom w:val="none" w:sz="0" w:space="0" w:color="auto"/>
            <w:right w:val="none" w:sz="0" w:space="0" w:color="auto"/>
          </w:divBdr>
        </w:div>
        <w:div w:id="701828830">
          <w:marLeft w:val="259"/>
          <w:marRight w:val="0"/>
          <w:marTop w:val="0"/>
          <w:marBottom w:val="120"/>
          <w:divBdr>
            <w:top w:val="none" w:sz="0" w:space="0" w:color="auto"/>
            <w:left w:val="none" w:sz="0" w:space="0" w:color="auto"/>
            <w:bottom w:val="none" w:sz="0" w:space="0" w:color="auto"/>
            <w:right w:val="none" w:sz="0" w:space="0" w:color="auto"/>
          </w:divBdr>
        </w:div>
        <w:div w:id="1066027213">
          <w:marLeft w:val="259"/>
          <w:marRight w:val="0"/>
          <w:marTop w:val="0"/>
          <w:marBottom w:val="120"/>
          <w:divBdr>
            <w:top w:val="none" w:sz="0" w:space="0" w:color="auto"/>
            <w:left w:val="none" w:sz="0" w:space="0" w:color="auto"/>
            <w:bottom w:val="none" w:sz="0" w:space="0" w:color="auto"/>
            <w:right w:val="none" w:sz="0" w:space="0" w:color="auto"/>
          </w:divBdr>
        </w:div>
        <w:div w:id="1474328171">
          <w:marLeft w:val="259"/>
          <w:marRight w:val="0"/>
          <w:marTop w:val="0"/>
          <w:marBottom w:val="120"/>
          <w:divBdr>
            <w:top w:val="none" w:sz="0" w:space="0" w:color="auto"/>
            <w:left w:val="none" w:sz="0" w:space="0" w:color="auto"/>
            <w:bottom w:val="none" w:sz="0" w:space="0" w:color="auto"/>
            <w:right w:val="none" w:sz="0" w:space="0" w:color="auto"/>
          </w:divBdr>
        </w:div>
        <w:div w:id="1950117500">
          <w:marLeft w:val="259"/>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401A21-B8A6-43E8-8D56-505E755C5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3</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dc:creator>
  <cp:lastModifiedBy>ALU0</cp:lastModifiedBy>
  <cp:revision>108</cp:revision>
  <dcterms:created xsi:type="dcterms:W3CDTF">2014-06-17T16:19:00Z</dcterms:created>
  <dcterms:modified xsi:type="dcterms:W3CDTF">2014-08-11T14:40:00Z</dcterms:modified>
</cp:coreProperties>
</file>